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6A7" w:rsidRPr="000F0F8B" w:rsidRDefault="00CF46A7" w:rsidP="00CF46A7">
      <w:pPr>
        <w:pStyle w:val="Default"/>
        <w:rPr>
          <w:rFonts w:ascii="Times New Roman" w:hAnsi="Times New Roman"/>
          <w:color w:val="auto"/>
          <w:sz w:val="22"/>
          <w:szCs w:val="22"/>
        </w:rPr>
      </w:pPr>
      <w:r w:rsidRPr="000F0F8B">
        <w:rPr>
          <w:rFonts w:ascii="Arial" w:hAnsi="Arial" w:cs="Arial"/>
          <w:b/>
          <w:snapToGrid w:val="0"/>
          <w:sz w:val="22"/>
          <w:szCs w:val="22"/>
        </w:rPr>
        <w:t>FR 4.1</w:t>
      </w:r>
      <w:r w:rsidRPr="000F0F8B">
        <w:rPr>
          <w:rFonts w:ascii="FuturaHvBT" w:hAnsi="FuturaHvBT"/>
          <w:snapToGrid w:val="0"/>
          <w:color w:val="808080"/>
          <w:sz w:val="22"/>
          <w:szCs w:val="22"/>
        </w:rPr>
        <w:t xml:space="preserve"> </w:t>
      </w:r>
      <w:r w:rsidRPr="000F0F8B">
        <w:rPr>
          <w:rFonts w:ascii="Times New Roman" w:hAnsi="Times New Roman"/>
          <w:color w:val="auto"/>
          <w:sz w:val="22"/>
          <w:szCs w:val="22"/>
        </w:rPr>
        <w:t>The institution evaluates success with respect to student achievement, including as appro</w:t>
      </w:r>
      <w:r>
        <w:rPr>
          <w:rFonts w:ascii="Times New Roman" w:hAnsi="Times New Roman"/>
          <w:color w:val="auto"/>
          <w:sz w:val="22"/>
          <w:szCs w:val="22"/>
        </w:rPr>
        <w:t>priate, consideration of course com</w:t>
      </w:r>
      <w:r w:rsidRPr="000F0F8B">
        <w:rPr>
          <w:rFonts w:ascii="Times New Roman" w:hAnsi="Times New Roman"/>
          <w:color w:val="auto"/>
          <w:sz w:val="22"/>
          <w:szCs w:val="22"/>
        </w:rPr>
        <w:t xml:space="preserve">pletion, state licensing examinations, and job placement rates. </w:t>
      </w:r>
      <w:r w:rsidRPr="00CF46A7">
        <w:rPr>
          <w:rFonts w:ascii="Times New Roman" w:hAnsi="Times New Roman"/>
          <w:b/>
          <w:color w:val="auto"/>
          <w:sz w:val="22"/>
          <w:szCs w:val="22"/>
        </w:rPr>
        <w:t>(Stud</w:t>
      </w:r>
      <w:r w:rsidRPr="000F0F8B">
        <w:rPr>
          <w:rFonts w:ascii="Times New Roman" w:hAnsi="Times New Roman"/>
          <w:b/>
          <w:bCs/>
          <w:color w:val="auto"/>
          <w:sz w:val="22"/>
          <w:szCs w:val="22"/>
        </w:rPr>
        <w:t>ent achievement)</w:t>
      </w:r>
      <w:r w:rsidRPr="000F0F8B">
        <w:rPr>
          <w:rFonts w:ascii="Times New Roman" w:hAnsi="Times New Roman"/>
          <w:color w:val="auto"/>
          <w:sz w:val="22"/>
          <w:szCs w:val="22"/>
        </w:rPr>
        <w:t xml:space="preserve">  </w:t>
      </w:r>
    </w:p>
    <w:p w:rsidR="00CF46A7" w:rsidRDefault="00CF46A7">
      <w:pPr>
        <w:rPr>
          <w:snapToGrid w:val="0"/>
          <w:color w:val="0000FF"/>
          <w:sz w:val="22"/>
          <w:szCs w:val="22"/>
        </w:rPr>
      </w:pPr>
    </w:p>
    <w:p w:rsidR="00A670BE" w:rsidRDefault="004A4778" w:rsidP="00A670BE">
      <w:pPr>
        <w:rPr>
          <w:sz w:val="22"/>
          <w:szCs w:val="22"/>
        </w:rPr>
      </w:pPr>
      <w:r w:rsidRPr="000F0F8B">
        <w:rPr>
          <w:rFonts w:ascii="Arial" w:hAnsi="Arial"/>
          <w:b/>
          <w:sz w:val="22"/>
          <w:szCs w:val="22"/>
        </w:rPr>
        <w:t>Compliance Judgment:</w:t>
      </w:r>
      <w:r w:rsidRPr="000F0F8B">
        <w:rPr>
          <w:sz w:val="22"/>
          <w:szCs w:val="22"/>
        </w:rPr>
        <w:t xml:space="preserve"> </w:t>
      </w:r>
      <w:r w:rsidR="00A670BE">
        <w:rPr>
          <w:sz w:val="22"/>
          <w:szCs w:val="22"/>
        </w:rPr>
        <w:t xml:space="preserve">  </w:t>
      </w:r>
    </w:p>
    <w:p w:rsidR="00A670BE" w:rsidRDefault="00A670BE" w:rsidP="00A670BE">
      <w:pPr>
        <w:rPr>
          <w:sz w:val="22"/>
          <w:szCs w:val="22"/>
        </w:rPr>
      </w:pPr>
    </w:p>
    <w:p w:rsidR="00E2164B" w:rsidRPr="000F0F8B" w:rsidRDefault="00E2164B" w:rsidP="00A670BE">
      <w:pPr>
        <w:rPr>
          <w:sz w:val="22"/>
          <w:szCs w:val="22"/>
        </w:rPr>
      </w:pPr>
      <w:r w:rsidRPr="000F0F8B">
        <w:rPr>
          <w:sz w:val="22"/>
          <w:szCs w:val="22"/>
        </w:rPr>
        <w:t>In compliance</w:t>
      </w:r>
    </w:p>
    <w:p w:rsidR="004A4778" w:rsidRDefault="004A4778">
      <w:pPr>
        <w:ind w:left="720"/>
        <w:rPr>
          <w:bCs/>
          <w:sz w:val="22"/>
          <w:szCs w:val="22"/>
        </w:rPr>
      </w:pPr>
    </w:p>
    <w:p w:rsidR="00A670BE" w:rsidRPr="000F0F8B" w:rsidRDefault="00A670BE">
      <w:pPr>
        <w:ind w:left="720"/>
        <w:rPr>
          <w:bCs/>
          <w:sz w:val="22"/>
          <w:szCs w:val="22"/>
        </w:rPr>
      </w:pPr>
    </w:p>
    <w:p w:rsidR="004A4778" w:rsidRPr="000F0F8B" w:rsidRDefault="004A4778">
      <w:pPr>
        <w:pStyle w:val="BodyTextIndent"/>
        <w:rPr>
          <w:rFonts w:ascii="Times New Roman" w:hAnsi="Times New Roman"/>
          <w:b w:val="0"/>
          <w:snapToGrid w:val="0"/>
          <w:sz w:val="22"/>
          <w:szCs w:val="22"/>
        </w:rPr>
      </w:pPr>
      <w:r w:rsidRPr="000F0F8B">
        <w:rPr>
          <w:rFonts w:ascii="Times New Roman" w:hAnsi="Times New Roman"/>
          <w:b w:val="0"/>
          <w:bCs/>
          <w:sz w:val="22"/>
          <w:szCs w:val="22"/>
        </w:rPr>
        <w:t>The following narrative provides evidence that</w:t>
      </w:r>
      <w:r w:rsidRPr="000F0F8B">
        <w:rPr>
          <w:snapToGrid w:val="0"/>
          <w:sz w:val="22"/>
          <w:szCs w:val="22"/>
        </w:rPr>
        <w:t xml:space="preserve"> </w:t>
      </w:r>
      <w:r w:rsidRPr="000F0F8B">
        <w:rPr>
          <w:rFonts w:ascii="Times New Roman" w:hAnsi="Times New Roman"/>
          <w:b w:val="0"/>
          <w:snapToGrid w:val="0"/>
          <w:sz w:val="22"/>
          <w:szCs w:val="22"/>
        </w:rPr>
        <w:t>FMU actively supports its stated mission by evaluating student achievement in:</w:t>
      </w:r>
    </w:p>
    <w:p w:rsidR="004A4778" w:rsidRPr="000F0F8B" w:rsidRDefault="004A4778">
      <w:pPr>
        <w:tabs>
          <w:tab w:val="num" w:pos="1440"/>
        </w:tabs>
        <w:rPr>
          <w:snapToGrid w:val="0"/>
          <w:sz w:val="22"/>
          <w:szCs w:val="22"/>
        </w:rPr>
      </w:pPr>
    </w:p>
    <w:p w:rsidR="004A4778" w:rsidRPr="000F0F8B" w:rsidRDefault="00227009">
      <w:pPr>
        <w:numPr>
          <w:ilvl w:val="0"/>
          <w:numId w:val="2"/>
        </w:numPr>
        <w:tabs>
          <w:tab w:val="clear" w:pos="720"/>
          <w:tab w:val="num" w:pos="1440"/>
        </w:tabs>
        <w:ind w:left="1440"/>
        <w:rPr>
          <w:snapToGrid w:val="0"/>
          <w:sz w:val="22"/>
          <w:szCs w:val="22"/>
        </w:rPr>
      </w:pPr>
      <w:r>
        <w:rPr>
          <w:snapToGrid w:val="0"/>
          <w:sz w:val="22"/>
          <w:szCs w:val="22"/>
        </w:rPr>
        <w:t>Retention and graduation</w:t>
      </w:r>
    </w:p>
    <w:p w:rsidR="004A4778" w:rsidRPr="000F0F8B" w:rsidRDefault="004A4778">
      <w:pPr>
        <w:numPr>
          <w:ilvl w:val="0"/>
          <w:numId w:val="2"/>
        </w:numPr>
        <w:tabs>
          <w:tab w:val="clear" w:pos="720"/>
          <w:tab w:val="num" w:pos="1440"/>
        </w:tabs>
        <w:ind w:left="1440"/>
        <w:rPr>
          <w:snapToGrid w:val="0"/>
          <w:sz w:val="22"/>
          <w:szCs w:val="22"/>
        </w:rPr>
      </w:pPr>
      <w:r w:rsidRPr="000F0F8B">
        <w:rPr>
          <w:snapToGrid w:val="0"/>
          <w:sz w:val="22"/>
          <w:szCs w:val="22"/>
        </w:rPr>
        <w:t xml:space="preserve">State licensing examinations </w:t>
      </w:r>
    </w:p>
    <w:p w:rsidR="004A4778" w:rsidRPr="000F0F8B" w:rsidRDefault="004A4778">
      <w:pPr>
        <w:numPr>
          <w:ilvl w:val="0"/>
          <w:numId w:val="2"/>
        </w:numPr>
        <w:tabs>
          <w:tab w:val="clear" w:pos="720"/>
          <w:tab w:val="num" w:pos="1440"/>
        </w:tabs>
        <w:ind w:left="1440"/>
        <w:rPr>
          <w:snapToGrid w:val="0"/>
          <w:sz w:val="22"/>
          <w:szCs w:val="22"/>
        </w:rPr>
      </w:pPr>
      <w:r w:rsidRPr="000F0F8B">
        <w:rPr>
          <w:snapToGrid w:val="0"/>
          <w:sz w:val="22"/>
          <w:szCs w:val="22"/>
        </w:rPr>
        <w:t>Job placement rates.</w:t>
      </w:r>
    </w:p>
    <w:p w:rsidR="004A4778" w:rsidRPr="000F0F8B" w:rsidRDefault="004A4778">
      <w:pPr>
        <w:pStyle w:val="BodyText"/>
        <w:rPr>
          <w:rFonts w:ascii="Times New Roman" w:hAnsi="Times New Roman"/>
          <w:b w:val="0"/>
          <w:sz w:val="22"/>
          <w:szCs w:val="22"/>
        </w:rPr>
      </w:pPr>
    </w:p>
    <w:p w:rsidR="004A4778" w:rsidRPr="000F0F8B" w:rsidRDefault="00E2164B">
      <w:pPr>
        <w:pStyle w:val="BodyText"/>
        <w:rPr>
          <w:rFonts w:ascii="Times New Roman" w:hAnsi="Times New Roman"/>
          <w:b w:val="0"/>
          <w:sz w:val="22"/>
          <w:szCs w:val="22"/>
        </w:rPr>
      </w:pPr>
      <w:r>
        <w:rPr>
          <w:sz w:val="22"/>
          <w:szCs w:val="22"/>
        </w:rPr>
        <w:t>Narrative</w:t>
      </w:r>
      <w:r w:rsidR="004A4778" w:rsidRPr="000F0F8B">
        <w:rPr>
          <w:sz w:val="22"/>
          <w:szCs w:val="22"/>
        </w:rPr>
        <w:t>:</w:t>
      </w:r>
      <w:r w:rsidR="004A4778" w:rsidRPr="000F0F8B">
        <w:rPr>
          <w:sz w:val="22"/>
          <w:szCs w:val="22"/>
        </w:rPr>
        <w:br/>
      </w:r>
    </w:p>
    <w:p w:rsidR="004A4778" w:rsidRPr="000F0F8B" w:rsidRDefault="004A4778">
      <w:pPr>
        <w:rPr>
          <w:sz w:val="22"/>
          <w:szCs w:val="22"/>
        </w:rPr>
      </w:pPr>
      <w:r w:rsidRPr="000F0F8B">
        <w:rPr>
          <w:sz w:val="22"/>
          <w:szCs w:val="22"/>
        </w:rPr>
        <w:t xml:space="preserve">The University audits all student work to ensure that students successfully complete all courses required for graduation in their majors, minors, and collaterals.  Especially during the semesters prior to graduation—and at any time on request—the Registrar’s Office runs an audit for students to verify that their course work fulfills the stated requirements published </w:t>
      </w:r>
      <w:r w:rsidR="008F75F4" w:rsidRPr="000F0F8B">
        <w:rPr>
          <w:sz w:val="22"/>
          <w:szCs w:val="22"/>
        </w:rPr>
        <w:t>in departmental brochures</w:t>
      </w:r>
      <w:r w:rsidR="008F75F4">
        <w:rPr>
          <w:sz w:val="22"/>
          <w:szCs w:val="22"/>
        </w:rPr>
        <w:t xml:space="preserve"> and</w:t>
      </w:r>
      <w:r w:rsidRPr="000F0F8B">
        <w:rPr>
          <w:sz w:val="22"/>
          <w:szCs w:val="22"/>
        </w:rPr>
        <w:t xml:space="preserve"> the </w:t>
      </w:r>
      <w:r w:rsidRPr="000F0F8B">
        <w:rPr>
          <w:i/>
          <w:sz w:val="22"/>
          <w:szCs w:val="22"/>
        </w:rPr>
        <w:t>Francis Marion University Catalog</w:t>
      </w:r>
      <w:r w:rsidR="00D830BC">
        <w:rPr>
          <w:i/>
          <w:sz w:val="22"/>
          <w:szCs w:val="22"/>
        </w:rPr>
        <w:t xml:space="preserve"> (Application for Degree</w:t>
      </w:r>
      <w:r w:rsidR="00975370">
        <w:rPr>
          <w:sz w:val="22"/>
          <w:szCs w:val="22"/>
        </w:rPr>
        <w:t>, p. 71</w:t>
      </w:r>
      <w:r w:rsidR="00D830BC">
        <w:rPr>
          <w:i/>
          <w:sz w:val="22"/>
          <w:szCs w:val="22"/>
        </w:rPr>
        <w:t>)</w:t>
      </w:r>
      <w:r w:rsidRPr="000F0F8B">
        <w:rPr>
          <w:rStyle w:val="EndnoteReference"/>
          <w:sz w:val="22"/>
          <w:szCs w:val="22"/>
        </w:rPr>
        <w:endnoteReference w:id="1"/>
      </w:r>
      <w:r w:rsidRPr="000F0F8B">
        <w:rPr>
          <w:sz w:val="22"/>
          <w:szCs w:val="22"/>
        </w:rPr>
        <w:t xml:space="preserve"> </w:t>
      </w:r>
      <w:r w:rsidR="008F75F4">
        <w:rPr>
          <w:sz w:val="22"/>
          <w:szCs w:val="22"/>
        </w:rPr>
        <w:t xml:space="preserve"> </w:t>
      </w:r>
      <w:r w:rsidR="003E4C0B">
        <w:rPr>
          <w:sz w:val="22"/>
          <w:szCs w:val="22"/>
        </w:rPr>
        <w:t xml:space="preserve">See </w:t>
      </w:r>
      <w:r w:rsidR="00975370">
        <w:rPr>
          <w:sz w:val="22"/>
          <w:szCs w:val="22"/>
        </w:rPr>
        <w:t>p</w:t>
      </w:r>
      <w:r w:rsidR="00975370" w:rsidRPr="00BC1590">
        <w:rPr>
          <w:sz w:val="22"/>
          <w:szCs w:val="22"/>
          <w:highlight w:val="yellow"/>
        </w:rPr>
        <w:t>age</w:t>
      </w:r>
      <w:r w:rsidR="00F72D30">
        <w:rPr>
          <w:sz w:val="22"/>
          <w:szCs w:val="22"/>
        </w:rPr>
        <w:t xml:space="preserve"> 4</w:t>
      </w:r>
      <w:bookmarkStart w:id="0" w:name="_GoBack"/>
      <w:bookmarkEnd w:id="0"/>
      <w:r w:rsidR="00A670BE">
        <w:rPr>
          <w:sz w:val="22"/>
          <w:szCs w:val="22"/>
        </w:rPr>
        <w:t>a-c</w:t>
      </w:r>
      <w:r w:rsidR="007A3C41">
        <w:rPr>
          <w:sz w:val="22"/>
          <w:szCs w:val="22"/>
        </w:rPr>
        <w:t xml:space="preserve"> for a student</w:t>
      </w:r>
      <w:r w:rsidR="003E4C0B">
        <w:rPr>
          <w:sz w:val="22"/>
          <w:szCs w:val="22"/>
        </w:rPr>
        <w:t xml:space="preserve"> audit)</w:t>
      </w:r>
      <w:r w:rsidRPr="000F0F8B">
        <w:rPr>
          <w:sz w:val="22"/>
          <w:szCs w:val="22"/>
        </w:rPr>
        <w:t xml:space="preserve">.  These records are maintained in a secure database that is continually updated and stored on campus every day and in an off-campus facility once a week. </w:t>
      </w:r>
    </w:p>
    <w:p w:rsidR="004A4778" w:rsidRDefault="004A4778">
      <w:pPr>
        <w:rPr>
          <w:sz w:val="22"/>
          <w:szCs w:val="22"/>
        </w:rPr>
      </w:pPr>
    </w:p>
    <w:p w:rsidR="00B90801" w:rsidRDefault="00B90801">
      <w:pPr>
        <w:rPr>
          <w:b/>
          <w:sz w:val="22"/>
          <w:szCs w:val="22"/>
        </w:rPr>
      </w:pPr>
      <w:r>
        <w:rPr>
          <w:b/>
          <w:sz w:val="22"/>
          <w:szCs w:val="22"/>
        </w:rPr>
        <w:t>Retention &amp; Graduation Rates</w:t>
      </w:r>
    </w:p>
    <w:p w:rsidR="00B90801" w:rsidRPr="00B90801" w:rsidRDefault="00B90801">
      <w:pPr>
        <w:rPr>
          <w:b/>
          <w:sz w:val="22"/>
          <w:szCs w:val="22"/>
        </w:rPr>
      </w:pPr>
    </w:p>
    <w:p w:rsidR="00E94202" w:rsidRDefault="004A4778">
      <w:pPr>
        <w:rPr>
          <w:sz w:val="22"/>
          <w:szCs w:val="22"/>
        </w:rPr>
      </w:pPr>
      <w:r w:rsidRPr="000F0F8B">
        <w:rPr>
          <w:sz w:val="22"/>
          <w:szCs w:val="22"/>
        </w:rPr>
        <w:t>The University’s Fact Book contains retention</w:t>
      </w:r>
      <w:r w:rsidR="00360EE0">
        <w:rPr>
          <w:sz w:val="22"/>
          <w:szCs w:val="22"/>
        </w:rPr>
        <w:t xml:space="preserve"> </w:t>
      </w:r>
      <w:r w:rsidRPr="000F0F8B">
        <w:rPr>
          <w:sz w:val="22"/>
          <w:szCs w:val="22"/>
        </w:rPr>
        <w:t>and graduation rates</w:t>
      </w:r>
      <w:r w:rsidR="00360EE0">
        <w:rPr>
          <w:sz w:val="22"/>
          <w:szCs w:val="22"/>
        </w:rPr>
        <w:t xml:space="preserve"> </w:t>
      </w:r>
      <w:r w:rsidRPr="000F0F8B">
        <w:rPr>
          <w:sz w:val="22"/>
          <w:szCs w:val="22"/>
        </w:rPr>
        <w:t>for the 1991-200</w:t>
      </w:r>
      <w:r w:rsidR="00FA0F7C" w:rsidRPr="00342763">
        <w:rPr>
          <w:sz w:val="22"/>
          <w:szCs w:val="22"/>
        </w:rPr>
        <w:t>8</w:t>
      </w:r>
      <w:r w:rsidR="00FA0F7C" w:rsidRPr="000F0F8B">
        <w:rPr>
          <w:color w:val="D99594" w:themeColor="accent2" w:themeTint="99"/>
          <w:sz w:val="22"/>
          <w:szCs w:val="22"/>
        </w:rPr>
        <w:t xml:space="preserve"> </w:t>
      </w:r>
      <w:r w:rsidRPr="000F0F8B">
        <w:rPr>
          <w:sz w:val="22"/>
          <w:szCs w:val="22"/>
        </w:rPr>
        <w:t xml:space="preserve">cohorts. </w:t>
      </w:r>
      <w:r w:rsidR="003E4C0B">
        <w:rPr>
          <w:sz w:val="22"/>
          <w:szCs w:val="22"/>
        </w:rPr>
        <w:t>The University website also maintains a College Portrait site populated by the Voluntary System of Accountability (VSA) program.  These rates are shown in Table 1</w:t>
      </w:r>
      <w:r w:rsidR="00952727">
        <w:rPr>
          <w:sz w:val="22"/>
          <w:szCs w:val="22"/>
        </w:rPr>
        <w:t xml:space="preserve"> for students who enrolled in college for the first time in Fall 2007 (i.e., newly-enrolled freshmen)</w:t>
      </w:r>
      <w:r w:rsidR="003E4C0B">
        <w:rPr>
          <w:sz w:val="22"/>
          <w:szCs w:val="22"/>
        </w:rPr>
        <w:t>.</w:t>
      </w:r>
      <w:r w:rsidR="00952727">
        <w:rPr>
          <w:sz w:val="22"/>
          <w:szCs w:val="22"/>
        </w:rPr>
        <w:t xml:space="preserve">  Comparable data are shown in Table 2 for students who transferred to Francis Marion in Fall 2007.</w:t>
      </w:r>
    </w:p>
    <w:p w:rsidR="00952727" w:rsidRDefault="00952727">
      <w:pPr>
        <w:rPr>
          <w:sz w:val="22"/>
          <w:szCs w:val="22"/>
        </w:rPr>
      </w:pPr>
    </w:p>
    <w:p w:rsidR="00CF46A7" w:rsidRPr="004C48BA" w:rsidRDefault="00CF46A7" w:rsidP="004C48BA">
      <w:pPr>
        <w:framePr w:hSpace="180" w:wrap="around" w:hAnchor="margin" w:xAlign="center" w:y="564"/>
        <w:autoSpaceDE/>
        <w:autoSpaceDN/>
        <w:jc w:val="center"/>
        <w:rPr>
          <w:sz w:val="22"/>
          <w:szCs w:val="22"/>
        </w:rPr>
      </w:pPr>
    </w:p>
    <w:tbl>
      <w:tblPr>
        <w:tblStyle w:val="TableGrid"/>
        <w:tblW w:w="0" w:type="auto"/>
        <w:tblInd w:w="585" w:type="dxa"/>
        <w:tblLook w:val="04A0" w:firstRow="1" w:lastRow="0" w:firstColumn="1" w:lastColumn="0" w:noHBand="0" w:noVBand="1"/>
      </w:tblPr>
      <w:tblGrid>
        <w:gridCol w:w="1298"/>
        <w:gridCol w:w="1011"/>
        <w:gridCol w:w="1072"/>
        <w:gridCol w:w="1011"/>
        <w:gridCol w:w="981"/>
        <w:gridCol w:w="981"/>
        <w:gridCol w:w="1089"/>
      </w:tblGrid>
      <w:tr w:rsidR="00952727" w:rsidTr="00C621E6">
        <w:trPr>
          <w:cantSplit/>
          <w:trHeight w:val="432"/>
          <w:tblHeader/>
        </w:trPr>
        <w:tc>
          <w:tcPr>
            <w:tcW w:w="7443" w:type="dxa"/>
            <w:gridSpan w:val="7"/>
            <w:tcBorders>
              <w:top w:val="nil"/>
              <w:left w:val="nil"/>
              <w:bottom w:val="nil"/>
              <w:right w:val="nil"/>
            </w:tcBorders>
            <w:vAlign w:val="center"/>
          </w:tcPr>
          <w:p w:rsidR="00952727" w:rsidRDefault="00952727" w:rsidP="00D76024">
            <w:pPr>
              <w:rPr>
                <w:sz w:val="22"/>
                <w:szCs w:val="22"/>
              </w:rPr>
            </w:pPr>
            <w:r>
              <w:rPr>
                <w:sz w:val="22"/>
                <w:szCs w:val="22"/>
              </w:rPr>
              <w:t xml:space="preserve">Table 1.  </w:t>
            </w:r>
            <w:r w:rsidR="00D76024">
              <w:rPr>
                <w:sz w:val="22"/>
                <w:szCs w:val="22"/>
              </w:rPr>
              <w:t xml:space="preserve">Percentage of </w:t>
            </w:r>
            <w:r>
              <w:rPr>
                <w:sz w:val="22"/>
                <w:szCs w:val="22"/>
              </w:rPr>
              <w:t xml:space="preserve"> Newly-Enrolled Freshmen</w:t>
            </w:r>
            <w:r w:rsidR="00D76024">
              <w:rPr>
                <w:sz w:val="22"/>
                <w:szCs w:val="22"/>
              </w:rPr>
              <w:t xml:space="preserve"> Who</w:t>
            </w:r>
            <w:r w:rsidR="00E2164B">
              <w:rPr>
                <w:sz w:val="22"/>
                <w:szCs w:val="22"/>
              </w:rPr>
              <w:t xml:space="preserve"> Entered in </w:t>
            </w:r>
            <w:r w:rsidR="00BC1590">
              <w:rPr>
                <w:sz w:val="22"/>
                <w:szCs w:val="22"/>
              </w:rPr>
              <w:t xml:space="preserve">Fall </w:t>
            </w:r>
            <w:r w:rsidR="00E2164B">
              <w:rPr>
                <w:sz w:val="22"/>
                <w:szCs w:val="22"/>
              </w:rPr>
              <w:t>2007</w:t>
            </w:r>
          </w:p>
        </w:tc>
      </w:tr>
      <w:tr w:rsidR="00952727" w:rsidTr="00C621E6">
        <w:trPr>
          <w:cantSplit/>
          <w:trHeight w:val="432"/>
          <w:tblHeader/>
        </w:trPr>
        <w:tc>
          <w:tcPr>
            <w:tcW w:w="0" w:type="auto"/>
            <w:tcBorders>
              <w:top w:val="nil"/>
              <w:left w:val="nil"/>
              <w:bottom w:val="nil"/>
              <w:right w:val="nil"/>
            </w:tcBorders>
            <w:vAlign w:val="center"/>
          </w:tcPr>
          <w:p w:rsidR="00952727" w:rsidRPr="00D76024" w:rsidRDefault="00952727" w:rsidP="00952727">
            <w:pPr>
              <w:jc w:val="center"/>
              <w:rPr>
                <w:b/>
                <w:sz w:val="22"/>
                <w:szCs w:val="22"/>
              </w:rPr>
            </w:pPr>
          </w:p>
        </w:tc>
        <w:tc>
          <w:tcPr>
            <w:tcW w:w="0" w:type="auto"/>
            <w:gridSpan w:val="3"/>
            <w:tcBorders>
              <w:top w:val="nil"/>
              <w:left w:val="nil"/>
              <w:bottom w:val="nil"/>
              <w:right w:val="nil"/>
            </w:tcBorders>
            <w:shd w:val="clear" w:color="auto" w:fill="auto"/>
            <w:vAlign w:val="center"/>
          </w:tcPr>
          <w:p w:rsidR="00952727" w:rsidRDefault="00E2164B" w:rsidP="00952727">
            <w:pPr>
              <w:jc w:val="center"/>
              <w:rPr>
                <w:sz w:val="22"/>
                <w:szCs w:val="22"/>
              </w:rPr>
            </w:pPr>
            <w:r>
              <w:rPr>
                <w:sz w:val="22"/>
                <w:szCs w:val="22"/>
              </w:rPr>
              <w:t xml:space="preserve">Who Have </w:t>
            </w:r>
            <w:r w:rsidR="00952727">
              <w:rPr>
                <w:sz w:val="22"/>
                <w:szCs w:val="22"/>
              </w:rPr>
              <w:t>Graduated from</w:t>
            </w:r>
            <w:r w:rsidR="00BC1590">
              <w:rPr>
                <w:sz w:val="22"/>
                <w:szCs w:val="22"/>
              </w:rPr>
              <w:t>:</w:t>
            </w:r>
          </w:p>
        </w:tc>
        <w:tc>
          <w:tcPr>
            <w:tcW w:w="3051" w:type="dxa"/>
            <w:gridSpan w:val="3"/>
            <w:tcBorders>
              <w:top w:val="nil"/>
              <w:left w:val="nil"/>
              <w:bottom w:val="nil"/>
              <w:right w:val="nil"/>
            </w:tcBorders>
            <w:vAlign w:val="center"/>
          </w:tcPr>
          <w:p w:rsidR="00952727" w:rsidRDefault="00D76024" w:rsidP="00E2164B">
            <w:pPr>
              <w:jc w:val="center"/>
              <w:rPr>
                <w:sz w:val="22"/>
                <w:szCs w:val="22"/>
              </w:rPr>
            </w:pPr>
            <w:r>
              <w:rPr>
                <w:sz w:val="22"/>
                <w:szCs w:val="22"/>
              </w:rPr>
              <w:t xml:space="preserve">Are </w:t>
            </w:r>
            <w:r w:rsidR="00952727">
              <w:rPr>
                <w:sz w:val="22"/>
                <w:szCs w:val="22"/>
              </w:rPr>
              <w:t xml:space="preserve">Still Enrolled </w:t>
            </w:r>
            <w:r w:rsidR="00E2164B">
              <w:rPr>
                <w:sz w:val="22"/>
                <w:szCs w:val="22"/>
              </w:rPr>
              <w:t>in</w:t>
            </w:r>
            <w:r w:rsidR="00BC1590">
              <w:rPr>
                <w:sz w:val="22"/>
                <w:szCs w:val="22"/>
              </w:rPr>
              <w:t>:</w:t>
            </w:r>
          </w:p>
        </w:tc>
      </w:tr>
      <w:tr w:rsidR="00D76024" w:rsidTr="00C621E6">
        <w:trPr>
          <w:cantSplit/>
          <w:trHeight w:val="432"/>
          <w:tblHeader/>
        </w:trPr>
        <w:tc>
          <w:tcPr>
            <w:tcW w:w="0" w:type="auto"/>
            <w:vMerge w:val="restart"/>
            <w:tcBorders>
              <w:top w:val="nil"/>
              <w:left w:val="nil"/>
              <w:right w:val="single" w:sz="4" w:space="0" w:color="auto"/>
            </w:tcBorders>
            <w:vAlign w:val="center"/>
          </w:tcPr>
          <w:p w:rsidR="00D76024" w:rsidRPr="00D76024" w:rsidRDefault="00D76024" w:rsidP="00D76024">
            <w:pPr>
              <w:jc w:val="center"/>
              <w:rPr>
                <w:sz w:val="22"/>
                <w:szCs w:val="22"/>
              </w:rPr>
            </w:pPr>
            <w:r w:rsidRPr="00D76024">
              <w:rPr>
                <w:sz w:val="22"/>
                <w:szCs w:val="22"/>
              </w:rPr>
              <w:t>Graduation</w:t>
            </w:r>
          </w:p>
          <w:p w:rsidR="00D76024" w:rsidRPr="00D76024" w:rsidRDefault="00D76024" w:rsidP="00D76024">
            <w:pPr>
              <w:jc w:val="center"/>
              <w:rPr>
                <w:b/>
                <w:sz w:val="22"/>
                <w:szCs w:val="22"/>
              </w:rPr>
            </w:pPr>
            <w:r w:rsidRPr="00D76024">
              <w:rPr>
                <w:sz w:val="22"/>
                <w:szCs w:val="22"/>
              </w:rPr>
              <w:t>Semester</w:t>
            </w:r>
          </w:p>
        </w:tc>
        <w:tc>
          <w:tcPr>
            <w:tcW w:w="0" w:type="auto"/>
            <w:tcBorders>
              <w:left w:val="single" w:sz="4" w:space="0" w:color="auto"/>
            </w:tcBorders>
            <w:shd w:val="clear" w:color="auto" w:fill="D9D9D9" w:themeFill="background1" w:themeFillShade="D9"/>
            <w:vAlign w:val="center"/>
          </w:tcPr>
          <w:p w:rsidR="00D76024" w:rsidRDefault="00D76024" w:rsidP="00952727">
            <w:pPr>
              <w:jc w:val="center"/>
              <w:rPr>
                <w:sz w:val="22"/>
                <w:szCs w:val="22"/>
              </w:rPr>
            </w:pPr>
            <w:r>
              <w:rPr>
                <w:sz w:val="22"/>
                <w:szCs w:val="22"/>
              </w:rPr>
              <w:t>FM</w:t>
            </w:r>
          </w:p>
        </w:tc>
        <w:tc>
          <w:tcPr>
            <w:tcW w:w="0" w:type="auto"/>
            <w:gridSpan w:val="2"/>
            <w:shd w:val="clear" w:color="auto" w:fill="D9D9D9" w:themeFill="background1" w:themeFillShade="D9"/>
            <w:vAlign w:val="center"/>
          </w:tcPr>
          <w:p w:rsidR="00D76024" w:rsidRDefault="00D76024" w:rsidP="00952727">
            <w:pPr>
              <w:jc w:val="center"/>
              <w:rPr>
                <w:sz w:val="22"/>
                <w:szCs w:val="22"/>
              </w:rPr>
            </w:pPr>
            <w:r>
              <w:rPr>
                <w:sz w:val="22"/>
                <w:szCs w:val="22"/>
              </w:rPr>
              <w:t>Another Institution</w:t>
            </w:r>
          </w:p>
        </w:tc>
        <w:tc>
          <w:tcPr>
            <w:tcW w:w="981" w:type="dxa"/>
            <w:vAlign w:val="center"/>
          </w:tcPr>
          <w:p w:rsidR="00D76024" w:rsidRDefault="00D76024" w:rsidP="00952727">
            <w:pPr>
              <w:jc w:val="center"/>
              <w:rPr>
                <w:sz w:val="22"/>
                <w:szCs w:val="22"/>
              </w:rPr>
            </w:pPr>
            <w:r>
              <w:rPr>
                <w:sz w:val="22"/>
                <w:szCs w:val="22"/>
              </w:rPr>
              <w:t>FM</w:t>
            </w:r>
          </w:p>
        </w:tc>
        <w:tc>
          <w:tcPr>
            <w:tcW w:w="2070" w:type="dxa"/>
            <w:gridSpan w:val="2"/>
            <w:vAlign w:val="center"/>
          </w:tcPr>
          <w:p w:rsidR="00D76024" w:rsidRDefault="00D76024" w:rsidP="00952727">
            <w:pPr>
              <w:jc w:val="center"/>
              <w:rPr>
                <w:sz w:val="22"/>
                <w:szCs w:val="22"/>
              </w:rPr>
            </w:pPr>
            <w:r>
              <w:rPr>
                <w:sz w:val="22"/>
                <w:szCs w:val="22"/>
              </w:rPr>
              <w:t>Another Institution</w:t>
            </w:r>
          </w:p>
        </w:tc>
      </w:tr>
      <w:tr w:rsidR="00BC1590" w:rsidTr="00C621E6">
        <w:trPr>
          <w:cantSplit/>
          <w:trHeight w:val="432"/>
          <w:tblHeader/>
        </w:trPr>
        <w:tc>
          <w:tcPr>
            <w:tcW w:w="0" w:type="auto"/>
            <w:vMerge/>
            <w:tcBorders>
              <w:left w:val="nil"/>
              <w:bottom w:val="single" w:sz="4" w:space="0" w:color="auto"/>
              <w:right w:val="single" w:sz="4" w:space="0" w:color="auto"/>
            </w:tcBorders>
            <w:vAlign w:val="center"/>
          </w:tcPr>
          <w:p w:rsidR="00BC1590" w:rsidRPr="00D76024" w:rsidRDefault="00BC1590" w:rsidP="00D76024">
            <w:pPr>
              <w:jc w:val="center"/>
              <w:rPr>
                <w:b/>
                <w:sz w:val="22"/>
                <w:szCs w:val="22"/>
              </w:rPr>
            </w:pPr>
          </w:p>
        </w:tc>
        <w:tc>
          <w:tcPr>
            <w:tcW w:w="0" w:type="auto"/>
            <w:tcBorders>
              <w:left w:val="single" w:sz="4" w:space="0" w:color="auto"/>
            </w:tcBorders>
            <w:shd w:val="clear" w:color="auto" w:fill="D9D9D9" w:themeFill="background1" w:themeFillShade="D9"/>
            <w:vAlign w:val="center"/>
          </w:tcPr>
          <w:p w:rsidR="00BC1590" w:rsidRDefault="00BC1590" w:rsidP="00952727">
            <w:pPr>
              <w:jc w:val="center"/>
              <w:rPr>
                <w:sz w:val="22"/>
                <w:szCs w:val="22"/>
              </w:rPr>
            </w:pPr>
            <w:r>
              <w:rPr>
                <w:sz w:val="22"/>
                <w:szCs w:val="22"/>
              </w:rPr>
              <w:t>Bachelor</w:t>
            </w:r>
          </w:p>
          <w:p w:rsidR="00BC1590" w:rsidRDefault="00BC1590" w:rsidP="00952727">
            <w:pPr>
              <w:jc w:val="center"/>
              <w:rPr>
                <w:sz w:val="22"/>
                <w:szCs w:val="22"/>
              </w:rPr>
            </w:pPr>
            <w:r>
              <w:rPr>
                <w:sz w:val="22"/>
                <w:szCs w:val="22"/>
              </w:rPr>
              <w:t>Degree</w:t>
            </w:r>
          </w:p>
        </w:tc>
        <w:tc>
          <w:tcPr>
            <w:tcW w:w="0" w:type="auto"/>
            <w:shd w:val="clear" w:color="auto" w:fill="D9D9D9" w:themeFill="background1" w:themeFillShade="D9"/>
            <w:vAlign w:val="center"/>
          </w:tcPr>
          <w:p w:rsidR="00BC1590" w:rsidRDefault="00BC1590" w:rsidP="00952727">
            <w:pPr>
              <w:jc w:val="center"/>
              <w:rPr>
                <w:sz w:val="22"/>
                <w:szCs w:val="22"/>
              </w:rPr>
            </w:pPr>
            <w:r>
              <w:rPr>
                <w:sz w:val="22"/>
                <w:szCs w:val="22"/>
              </w:rPr>
              <w:t>Associate</w:t>
            </w:r>
          </w:p>
          <w:p w:rsidR="00BC1590" w:rsidRDefault="00BC1590" w:rsidP="00952727">
            <w:pPr>
              <w:jc w:val="center"/>
              <w:rPr>
                <w:sz w:val="22"/>
                <w:szCs w:val="22"/>
              </w:rPr>
            </w:pPr>
            <w:r>
              <w:rPr>
                <w:sz w:val="22"/>
                <w:szCs w:val="22"/>
              </w:rPr>
              <w:t>Degree</w:t>
            </w:r>
          </w:p>
        </w:tc>
        <w:tc>
          <w:tcPr>
            <w:tcW w:w="0" w:type="auto"/>
            <w:shd w:val="clear" w:color="auto" w:fill="D9D9D9" w:themeFill="background1" w:themeFillShade="D9"/>
            <w:vAlign w:val="center"/>
          </w:tcPr>
          <w:p w:rsidR="00BC1590" w:rsidRDefault="00BC1590" w:rsidP="00952727">
            <w:pPr>
              <w:jc w:val="center"/>
              <w:rPr>
                <w:sz w:val="22"/>
                <w:szCs w:val="22"/>
              </w:rPr>
            </w:pPr>
            <w:r>
              <w:rPr>
                <w:sz w:val="22"/>
                <w:szCs w:val="22"/>
              </w:rPr>
              <w:t>Bachelor</w:t>
            </w:r>
          </w:p>
          <w:p w:rsidR="00BC1590" w:rsidRDefault="00BC1590" w:rsidP="00952727">
            <w:pPr>
              <w:jc w:val="center"/>
              <w:rPr>
                <w:sz w:val="22"/>
                <w:szCs w:val="22"/>
              </w:rPr>
            </w:pPr>
            <w:r>
              <w:rPr>
                <w:sz w:val="22"/>
                <w:szCs w:val="22"/>
              </w:rPr>
              <w:t>Degree</w:t>
            </w:r>
          </w:p>
        </w:tc>
        <w:tc>
          <w:tcPr>
            <w:tcW w:w="981" w:type="dxa"/>
            <w:vAlign w:val="center"/>
          </w:tcPr>
          <w:p w:rsidR="00BC1590" w:rsidRDefault="00BC1590" w:rsidP="00952727">
            <w:pPr>
              <w:jc w:val="center"/>
              <w:rPr>
                <w:sz w:val="22"/>
                <w:szCs w:val="22"/>
              </w:rPr>
            </w:pPr>
          </w:p>
        </w:tc>
        <w:tc>
          <w:tcPr>
            <w:tcW w:w="981" w:type="dxa"/>
            <w:vAlign w:val="center"/>
          </w:tcPr>
          <w:p w:rsidR="00BC1590" w:rsidRDefault="007242B8" w:rsidP="006E6457">
            <w:pPr>
              <w:jc w:val="center"/>
              <w:rPr>
                <w:sz w:val="22"/>
                <w:szCs w:val="22"/>
              </w:rPr>
            </w:pPr>
            <w:r>
              <w:rPr>
                <w:sz w:val="22"/>
                <w:szCs w:val="22"/>
              </w:rPr>
              <w:t>2-year</w:t>
            </w:r>
          </w:p>
        </w:tc>
        <w:tc>
          <w:tcPr>
            <w:tcW w:w="1089" w:type="dxa"/>
            <w:vAlign w:val="center"/>
          </w:tcPr>
          <w:p w:rsidR="00BC1590" w:rsidRDefault="007242B8" w:rsidP="006E6457">
            <w:pPr>
              <w:jc w:val="center"/>
              <w:rPr>
                <w:sz w:val="22"/>
                <w:szCs w:val="22"/>
              </w:rPr>
            </w:pPr>
            <w:r>
              <w:rPr>
                <w:sz w:val="22"/>
                <w:szCs w:val="22"/>
              </w:rPr>
              <w:t>4-year</w:t>
            </w:r>
          </w:p>
        </w:tc>
      </w:tr>
      <w:tr w:rsidR="00BC1590" w:rsidTr="00C621E6">
        <w:trPr>
          <w:cantSplit/>
          <w:trHeight w:val="432"/>
          <w:tblHeader/>
        </w:trPr>
        <w:tc>
          <w:tcPr>
            <w:tcW w:w="0" w:type="auto"/>
            <w:tcBorders>
              <w:top w:val="single" w:sz="4" w:space="0" w:color="auto"/>
            </w:tcBorders>
            <w:vAlign w:val="center"/>
          </w:tcPr>
          <w:p w:rsidR="00BC1590" w:rsidRDefault="00BC1590" w:rsidP="00952727">
            <w:pPr>
              <w:jc w:val="center"/>
              <w:rPr>
                <w:sz w:val="22"/>
                <w:szCs w:val="22"/>
              </w:rPr>
            </w:pPr>
            <w:r>
              <w:rPr>
                <w:sz w:val="22"/>
                <w:szCs w:val="22"/>
              </w:rPr>
              <w:t>Spring 2010</w:t>
            </w:r>
          </w:p>
        </w:tc>
        <w:tc>
          <w:tcPr>
            <w:tcW w:w="0" w:type="auto"/>
            <w:shd w:val="clear" w:color="auto" w:fill="D9D9D9" w:themeFill="background1" w:themeFillShade="D9"/>
            <w:vAlign w:val="center"/>
          </w:tcPr>
          <w:p w:rsidR="00BC1590" w:rsidRDefault="00BC1590" w:rsidP="00A52812">
            <w:pPr>
              <w:jc w:val="center"/>
              <w:rPr>
                <w:sz w:val="22"/>
                <w:szCs w:val="22"/>
              </w:rPr>
            </w:pPr>
            <w:r>
              <w:rPr>
                <w:sz w:val="22"/>
                <w:szCs w:val="22"/>
              </w:rPr>
              <w:t>.1</w:t>
            </w:r>
          </w:p>
        </w:tc>
        <w:tc>
          <w:tcPr>
            <w:tcW w:w="0" w:type="auto"/>
            <w:shd w:val="clear" w:color="auto" w:fill="D9D9D9" w:themeFill="background1" w:themeFillShade="D9"/>
            <w:vAlign w:val="center"/>
          </w:tcPr>
          <w:p w:rsidR="00BC1590" w:rsidRDefault="00BC1590" w:rsidP="00A52812">
            <w:pPr>
              <w:jc w:val="center"/>
              <w:rPr>
                <w:sz w:val="22"/>
                <w:szCs w:val="22"/>
              </w:rPr>
            </w:pPr>
            <w:r>
              <w:rPr>
                <w:sz w:val="22"/>
                <w:szCs w:val="22"/>
              </w:rPr>
              <w:t>1.0</w:t>
            </w:r>
          </w:p>
        </w:tc>
        <w:tc>
          <w:tcPr>
            <w:tcW w:w="0" w:type="auto"/>
            <w:shd w:val="clear" w:color="auto" w:fill="D9D9D9" w:themeFill="background1" w:themeFillShade="D9"/>
            <w:vAlign w:val="center"/>
          </w:tcPr>
          <w:p w:rsidR="00BC1590" w:rsidRDefault="00BC1590" w:rsidP="00A52812">
            <w:pPr>
              <w:jc w:val="center"/>
              <w:rPr>
                <w:sz w:val="22"/>
                <w:szCs w:val="22"/>
              </w:rPr>
            </w:pPr>
            <w:r>
              <w:rPr>
                <w:sz w:val="22"/>
                <w:szCs w:val="22"/>
              </w:rPr>
              <w:t>0</w:t>
            </w:r>
          </w:p>
        </w:tc>
        <w:tc>
          <w:tcPr>
            <w:tcW w:w="981" w:type="dxa"/>
            <w:vAlign w:val="center"/>
          </w:tcPr>
          <w:p w:rsidR="00BC1590" w:rsidRDefault="00BC1590" w:rsidP="00A52812">
            <w:pPr>
              <w:jc w:val="center"/>
              <w:rPr>
                <w:sz w:val="22"/>
                <w:szCs w:val="22"/>
              </w:rPr>
            </w:pPr>
            <w:r>
              <w:rPr>
                <w:sz w:val="22"/>
                <w:szCs w:val="22"/>
              </w:rPr>
              <w:t>58.0</w:t>
            </w:r>
          </w:p>
        </w:tc>
        <w:tc>
          <w:tcPr>
            <w:tcW w:w="981" w:type="dxa"/>
            <w:vAlign w:val="center"/>
          </w:tcPr>
          <w:p w:rsidR="00BC1590" w:rsidRDefault="00BC1590" w:rsidP="00A52812">
            <w:pPr>
              <w:jc w:val="center"/>
              <w:rPr>
                <w:sz w:val="22"/>
                <w:szCs w:val="22"/>
              </w:rPr>
            </w:pPr>
            <w:r>
              <w:rPr>
                <w:sz w:val="22"/>
                <w:szCs w:val="22"/>
              </w:rPr>
              <w:t>15.5</w:t>
            </w:r>
          </w:p>
        </w:tc>
        <w:tc>
          <w:tcPr>
            <w:tcW w:w="1089" w:type="dxa"/>
            <w:vAlign w:val="center"/>
          </w:tcPr>
          <w:p w:rsidR="00BC1590" w:rsidRDefault="00BC1590" w:rsidP="00A52812">
            <w:pPr>
              <w:jc w:val="center"/>
              <w:rPr>
                <w:sz w:val="22"/>
                <w:szCs w:val="22"/>
              </w:rPr>
            </w:pPr>
            <w:r>
              <w:rPr>
                <w:sz w:val="22"/>
                <w:szCs w:val="22"/>
              </w:rPr>
              <w:t>9.7</w:t>
            </w:r>
          </w:p>
        </w:tc>
      </w:tr>
      <w:tr w:rsidR="00BC1590" w:rsidTr="00C621E6">
        <w:trPr>
          <w:cantSplit/>
          <w:trHeight w:val="432"/>
          <w:tblHeader/>
        </w:trPr>
        <w:tc>
          <w:tcPr>
            <w:tcW w:w="0" w:type="auto"/>
            <w:vAlign w:val="center"/>
          </w:tcPr>
          <w:p w:rsidR="00BC1590" w:rsidRDefault="00BC1590" w:rsidP="00952727">
            <w:pPr>
              <w:jc w:val="center"/>
              <w:rPr>
                <w:sz w:val="22"/>
                <w:szCs w:val="22"/>
              </w:rPr>
            </w:pPr>
            <w:r>
              <w:rPr>
                <w:sz w:val="22"/>
                <w:szCs w:val="22"/>
              </w:rPr>
              <w:t>Spring 2011</w:t>
            </w:r>
          </w:p>
        </w:tc>
        <w:tc>
          <w:tcPr>
            <w:tcW w:w="0" w:type="auto"/>
            <w:shd w:val="clear" w:color="auto" w:fill="D9D9D9" w:themeFill="background1" w:themeFillShade="D9"/>
            <w:vAlign w:val="center"/>
          </w:tcPr>
          <w:p w:rsidR="00BC1590" w:rsidRDefault="00BC1590" w:rsidP="00A52812">
            <w:pPr>
              <w:jc w:val="center"/>
              <w:rPr>
                <w:sz w:val="22"/>
                <w:szCs w:val="22"/>
              </w:rPr>
            </w:pPr>
            <w:r>
              <w:rPr>
                <w:sz w:val="22"/>
                <w:szCs w:val="22"/>
              </w:rPr>
              <w:t>16.2</w:t>
            </w:r>
          </w:p>
        </w:tc>
        <w:tc>
          <w:tcPr>
            <w:tcW w:w="0" w:type="auto"/>
            <w:shd w:val="clear" w:color="auto" w:fill="D9D9D9" w:themeFill="background1" w:themeFillShade="D9"/>
            <w:vAlign w:val="center"/>
          </w:tcPr>
          <w:p w:rsidR="00BC1590" w:rsidRDefault="00BC1590" w:rsidP="00A52812">
            <w:pPr>
              <w:jc w:val="center"/>
              <w:rPr>
                <w:sz w:val="22"/>
                <w:szCs w:val="22"/>
              </w:rPr>
            </w:pPr>
            <w:r>
              <w:rPr>
                <w:sz w:val="22"/>
                <w:szCs w:val="22"/>
              </w:rPr>
              <w:t>2.1</w:t>
            </w:r>
          </w:p>
        </w:tc>
        <w:tc>
          <w:tcPr>
            <w:tcW w:w="0" w:type="auto"/>
            <w:shd w:val="clear" w:color="auto" w:fill="D9D9D9" w:themeFill="background1" w:themeFillShade="D9"/>
            <w:vAlign w:val="center"/>
          </w:tcPr>
          <w:p w:rsidR="00BC1590" w:rsidRDefault="00BC1590" w:rsidP="00A52812">
            <w:pPr>
              <w:jc w:val="center"/>
              <w:rPr>
                <w:sz w:val="22"/>
                <w:szCs w:val="22"/>
              </w:rPr>
            </w:pPr>
            <w:r>
              <w:rPr>
                <w:sz w:val="22"/>
                <w:szCs w:val="22"/>
              </w:rPr>
              <w:t>2.1</w:t>
            </w:r>
          </w:p>
        </w:tc>
        <w:tc>
          <w:tcPr>
            <w:tcW w:w="981" w:type="dxa"/>
            <w:vAlign w:val="center"/>
          </w:tcPr>
          <w:p w:rsidR="00BC1590" w:rsidRDefault="00BC1590" w:rsidP="00A52812">
            <w:pPr>
              <w:jc w:val="center"/>
              <w:rPr>
                <w:sz w:val="22"/>
                <w:szCs w:val="22"/>
              </w:rPr>
            </w:pPr>
            <w:r>
              <w:rPr>
                <w:sz w:val="22"/>
                <w:szCs w:val="22"/>
              </w:rPr>
              <w:t>34.9</w:t>
            </w:r>
          </w:p>
        </w:tc>
        <w:tc>
          <w:tcPr>
            <w:tcW w:w="981" w:type="dxa"/>
            <w:vAlign w:val="center"/>
          </w:tcPr>
          <w:p w:rsidR="00BC1590" w:rsidRDefault="00BC1590" w:rsidP="00A52812">
            <w:pPr>
              <w:jc w:val="center"/>
              <w:rPr>
                <w:sz w:val="22"/>
                <w:szCs w:val="22"/>
              </w:rPr>
            </w:pPr>
            <w:r>
              <w:rPr>
                <w:sz w:val="22"/>
                <w:szCs w:val="22"/>
              </w:rPr>
              <w:t>16.4</w:t>
            </w:r>
          </w:p>
        </w:tc>
        <w:tc>
          <w:tcPr>
            <w:tcW w:w="1089" w:type="dxa"/>
            <w:vAlign w:val="center"/>
          </w:tcPr>
          <w:p w:rsidR="00BC1590" w:rsidRDefault="00BC1590" w:rsidP="00A52812">
            <w:pPr>
              <w:jc w:val="center"/>
              <w:rPr>
                <w:sz w:val="22"/>
                <w:szCs w:val="22"/>
              </w:rPr>
            </w:pPr>
            <w:r>
              <w:rPr>
                <w:sz w:val="22"/>
                <w:szCs w:val="22"/>
              </w:rPr>
              <w:t>10.2</w:t>
            </w:r>
          </w:p>
        </w:tc>
      </w:tr>
      <w:tr w:rsidR="00BC1590" w:rsidTr="00C621E6">
        <w:trPr>
          <w:cantSplit/>
          <w:trHeight w:val="432"/>
          <w:tblHeader/>
        </w:trPr>
        <w:tc>
          <w:tcPr>
            <w:tcW w:w="0" w:type="auto"/>
            <w:vAlign w:val="center"/>
          </w:tcPr>
          <w:p w:rsidR="00BC1590" w:rsidRDefault="00BC1590" w:rsidP="00952727">
            <w:pPr>
              <w:jc w:val="center"/>
              <w:rPr>
                <w:sz w:val="22"/>
                <w:szCs w:val="22"/>
              </w:rPr>
            </w:pPr>
            <w:r>
              <w:rPr>
                <w:sz w:val="22"/>
                <w:szCs w:val="22"/>
              </w:rPr>
              <w:t>Spring 2012</w:t>
            </w:r>
          </w:p>
        </w:tc>
        <w:tc>
          <w:tcPr>
            <w:tcW w:w="0" w:type="auto"/>
            <w:shd w:val="clear" w:color="auto" w:fill="D9D9D9" w:themeFill="background1" w:themeFillShade="D9"/>
            <w:vAlign w:val="center"/>
          </w:tcPr>
          <w:p w:rsidR="00BC1590" w:rsidRDefault="00BC1590" w:rsidP="00A52812">
            <w:pPr>
              <w:jc w:val="center"/>
              <w:rPr>
                <w:sz w:val="22"/>
                <w:szCs w:val="22"/>
              </w:rPr>
            </w:pPr>
            <w:r>
              <w:rPr>
                <w:sz w:val="22"/>
                <w:szCs w:val="22"/>
              </w:rPr>
              <w:t>33.2</w:t>
            </w:r>
          </w:p>
        </w:tc>
        <w:tc>
          <w:tcPr>
            <w:tcW w:w="0" w:type="auto"/>
            <w:shd w:val="clear" w:color="auto" w:fill="D9D9D9" w:themeFill="background1" w:themeFillShade="D9"/>
            <w:vAlign w:val="center"/>
          </w:tcPr>
          <w:p w:rsidR="00BC1590" w:rsidRDefault="00BC1590" w:rsidP="00A52812">
            <w:pPr>
              <w:jc w:val="center"/>
              <w:rPr>
                <w:sz w:val="22"/>
                <w:szCs w:val="22"/>
              </w:rPr>
            </w:pPr>
            <w:r>
              <w:rPr>
                <w:sz w:val="22"/>
                <w:szCs w:val="22"/>
              </w:rPr>
              <w:t>3.8</w:t>
            </w:r>
          </w:p>
        </w:tc>
        <w:tc>
          <w:tcPr>
            <w:tcW w:w="0" w:type="auto"/>
            <w:shd w:val="clear" w:color="auto" w:fill="D9D9D9" w:themeFill="background1" w:themeFillShade="D9"/>
            <w:vAlign w:val="center"/>
          </w:tcPr>
          <w:p w:rsidR="00BC1590" w:rsidRDefault="00BC1590" w:rsidP="00A52812">
            <w:pPr>
              <w:jc w:val="center"/>
              <w:rPr>
                <w:sz w:val="22"/>
                <w:szCs w:val="22"/>
              </w:rPr>
            </w:pPr>
            <w:r>
              <w:rPr>
                <w:sz w:val="22"/>
                <w:szCs w:val="22"/>
              </w:rPr>
              <w:t>5.4</w:t>
            </w:r>
          </w:p>
        </w:tc>
        <w:tc>
          <w:tcPr>
            <w:tcW w:w="981" w:type="dxa"/>
            <w:vAlign w:val="center"/>
          </w:tcPr>
          <w:p w:rsidR="00BC1590" w:rsidRDefault="00BC1590" w:rsidP="00A52812">
            <w:pPr>
              <w:jc w:val="center"/>
              <w:rPr>
                <w:sz w:val="22"/>
                <w:szCs w:val="22"/>
              </w:rPr>
            </w:pPr>
            <w:r>
              <w:rPr>
                <w:sz w:val="22"/>
                <w:szCs w:val="22"/>
              </w:rPr>
              <w:t>14.4</w:t>
            </w:r>
          </w:p>
        </w:tc>
        <w:tc>
          <w:tcPr>
            <w:tcW w:w="981" w:type="dxa"/>
            <w:vAlign w:val="center"/>
          </w:tcPr>
          <w:p w:rsidR="00BC1590" w:rsidRDefault="00BC1590" w:rsidP="00A52812">
            <w:pPr>
              <w:jc w:val="center"/>
              <w:rPr>
                <w:sz w:val="22"/>
                <w:szCs w:val="22"/>
              </w:rPr>
            </w:pPr>
            <w:r>
              <w:rPr>
                <w:sz w:val="22"/>
                <w:szCs w:val="22"/>
              </w:rPr>
              <w:t>12.7</w:t>
            </w:r>
          </w:p>
        </w:tc>
        <w:tc>
          <w:tcPr>
            <w:tcW w:w="1089" w:type="dxa"/>
            <w:vAlign w:val="center"/>
          </w:tcPr>
          <w:p w:rsidR="00BC1590" w:rsidRDefault="00BC1590" w:rsidP="00A52812">
            <w:pPr>
              <w:jc w:val="center"/>
              <w:rPr>
                <w:sz w:val="22"/>
                <w:szCs w:val="22"/>
              </w:rPr>
            </w:pPr>
            <w:r>
              <w:rPr>
                <w:sz w:val="22"/>
                <w:szCs w:val="22"/>
              </w:rPr>
              <w:t>6.6</w:t>
            </w:r>
          </w:p>
        </w:tc>
      </w:tr>
      <w:tr w:rsidR="00BC1590" w:rsidTr="00C621E6">
        <w:trPr>
          <w:cantSplit/>
          <w:trHeight w:val="432"/>
          <w:tblHeader/>
        </w:trPr>
        <w:tc>
          <w:tcPr>
            <w:tcW w:w="0" w:type="auto"/>
            <w:vAlign w:val="center"/>
          </w:tcPr>
          <w:p w:rsidR="00BC1590" w:rsidRDefault="00BC1590" w:rsidP="00952727">
            <w:pPr>
              <w:jc w:val="center"/>
              <w:rPr>
                <w:sz w:val="22"/>
                <w:szCs w:val="22"/>
              </w:rPr>
            </w:pPr>
            <w:r>
              <w:rPr>
                <w:sz w:val="22"/>
                <w:szCs w:val="22"/>
              </w:rPr>
              <w:t>Spring 2013</w:t>
            </w:r>
          </w:p>
        </w:tc>
        <w:tc>
          <w:tcPr>
            <w:tcW w:w="0" w:type="auto"/>
            <w:shd w:val="clear" w:color="auto" w:fill="D9D9D9" w:themeFill="background1" w:themeFillShade="D9"/>
            <w:vAlign w:val="center"/>
          </w:tcPr>
          <w:p w:rsidR="00BC1590" w:rsidRDefault="00BC1590" w:rsidP="00A52812">
            <w:pPr>
              <w:jc w:val="center"/>
              <w:rPr>
                <w:sz w:val="22"/>
                <w:szCs w:val="22"/>
              </w:rPr>
            </w:pPr>
            <w:r>
              <w:rPr>
                <w:sz w:val="22"/>
                <w:szCs w:val="22"/>
              </w:rPr>
              <w:t>40.2</w:t>
            </w:r>
          </w:p>
        </w:tc>
        <w:tc>
          <w:tcPr>
            <w:tcW w:w="0" w:type="auto"/>
            <w:shd w:val="clear" w:color="auto" w:fill="D9D9D9" w:themeFill="background1" w:themeFillShade="D9"/>
            <w:vAlign w:val="center"/>
          </w:tcPr>
          <w:p w:rsidR="00BC1590" w:rsidRDefault="00BC1590" w:rsidP="00A52812">
            <w:pPr>
              <w:jc w:val="center"/>
              <w:rPr>
                <w:sz w:val="22"/>
                <w:szCs w:val="22"/>
              </w:rPr>
            </w:pPr>
            <w:r>
              <w:rPr>
                <w:sz w:val="22"/>
                <w:szCs w:val="22"/>
              </w:rPr>
              <w:t>5.7</w:t>
            </w:r>
          </w:p>
        </w:tc>
        <w:tc>
          <w:tcPr>
            <w:tcW w:w="0" w:type="auto"/>
            <w:shd w:val="clear" w:color="auto" w:fill="D9D9D9" w:themeFill="background1" w:themeFillShade="D9"/>
            <w:vAlign w:val="center"/>
          </w:tcPr>
          <w:p w:rsidR="00BC1590" w:rsidRDefault="00BC1590" w:rsidP="00A52812">
            <w:pPr>
              <w:jc w:val="center"/>
              <w:rPr>
                <w:sz w:val="22"/>
                <w:szCs w:val="22"/>
              </w:rPr>
            </w:pPr>
            <w:r>
              <w:rPr>
                <w:sz w:val="22"/>
                <w:szCs w:val="22"/>
              </w:rPr>
              <w:t>8.0</w:t>
            </w:r>
          </w:p>
        </w:tc>
        <w:tc>
          <w:tcPr>
            <w:tcW w:w="981" w:type="dxa"/>
            <w:vAlign w:val="center"/>
          </w:tcPr>
          <w:p w:rsidR="00BC1590" w:rsidRDefault="00BC1590" w:rsidP="00A52812">
            <w:pPr>
              <w:jc w:val="center"/>
              <w:rPr>
                <w:sz w:val="22"/>
                <w:szCs w:val="22"/>
              </w:rPr>
            </w:pPr>
            <w:r>
              <w:rPr>
                <w:sz w:val="22"/>
                <w:szCs w:val="22"/>
              </w:rPr>
              <w:t>4.9</w:t>
            </w:r>
          </w:p>
        </w:tc>
        <w:tc>
          <w:tcPr>
            <w:tcW w:w="981" w:type="dxa"/>
            <w:vAlign w:val="center"/>
          </w:tcPr>
          <w:p w:rsidR="00BC1590" w:rsidRDefault="00BC1590" w:rsidP="00A52812">
            <w:pPr>
              <w:jc w:val="center"/>
              <w:rPr>
                <w:sz w:val="22"/>
                <w:szCs w:val="22"/>
              </w:rPr>
            </w:pPr>
            <w:r>
              <w:rPr>
                <w:sz w:val="22"/>
                <w:szCs w:val="22"/>
              </w:rPr>
              <w:t>8.5</w:t>
            </w:r>
          </w:p>
        </w:tc>
        <w:tc>
          <w:tcPr>
            <w:tcW w:w="1089" w:type="dxa"/>
            <w:vAlign w:val="center"/>
          </w:tcPr>
          <w:p w:rsidR="00BC1590" w:rsidRDefault="00BC1590" w:rsidP="00A52812">
            <w:pPr>
              <w:jc w:val="center"/>
              <w:rPr>
                <w:sz w:val="22"/>
                <w:szCs w:val="22"/>
              </w:rPr>
            </w:pPr>
            <w:r>
              <w:rPr>
                <w:sz w:val="22"/>
                <w:szCs w:val="22"/>
              </w:rPr>
              <w:t>3.9</w:t>
            </w:r>
          </w:p>
        </w:tc>
      </w:tr>
    </w:tbl>
    <w:p w:rsidR="004C48BA" w:rsidRDefault="004C48BA">
      <w:pPr>
        <w:rPr>
          <w:sz w:val="22"/>
          <w:szCs w:val="22"/>
        </w:rPr>
      </w:pPr>
    </w:p>
    <w:p w:rsidR="004C48BA" w:rsidRDefault="004C48BA">
      <w:pPr>
        <w:rPr>
          <w:sz w:val="22"/>
          <w:szCs w:val="22"/>
        </w:rPr>
      </w:pPr>
    </w:p>
    <w:tbl>
      <w:tblPr>
        <w:tblStyle w:val="TableGrid"/>
        <w:tblW w:w="0" w:type="auto"/>
        <w:tblInd w:w="585" w:type="dxa"/>
        <w:tblLayout w:type="fixed"/>
        <w:tblLook w:val="04A0" w:firstRow="1" w:lastRow="0" w:firstColumn="1" w:lastColumn="0" w:noHBand="0" w:noVBand="1"/>
      </w:tblPr>
      <w:tblGrid>
        <w:gridCol w:w="1298"/>
        <w:gridCol w:w="1011"/>
        <w:gridCol w:w="1072"/>
        <w:gridCol w:w="1011"/>
        <w:gridCol w:w="981"/>
        <w:gridCol w:w="990"/>
        <w:gridCol w:w="1080"/>
      </w:tblGrid>
      <w:tr w:rsidR="00D76024" w:rsidTr="006E4DC2">
        <w:trPr>
          <w:cantSplit/>
          <w:trHeight w:val="432"/>
          <w:tblHeader/>
        </w:trPr>
        <w:tc>
          <w:tcPr>
            <w:tcW w:w="7443" w:type="dxa"/>
            <w:gridSpan w:val="7"/>
            <w:tcBorders>
              <w:top w:val="nil"/>
              <w:left w:val="nil"/>
              <w:bottom w:val="nil"/>
              <w:right w:val="nil"/>
            </w:tcBorders>
            <w:vAlign w:val="center"/>
          </w:tcPr>
          <w:p w:rsidR="00D76024" w:rsidRDefault="00A670BE" w:rsidP="00BC1590">
            <w:pPr>
              <w:rPr>
                <w:sz w:val="22"/>
                <w:szCs w:val="22"/>
              </w:rPr>
            </w:pPr>
            <w:r>
              <w:rPr>
                <w:sz w:val="22"/>
                <w:szCs w:val="22"/>
              </w:rPr>
              <w:lastRenderedPageBreak/>
              <w:t>Table 2</w:t>
            </w:r>
            <w:r w:rsidR="00D76024">
              <w:rPr>
                <w:sz w:val="22"/>
                <w:szCs w:val="22"/>
              </w:rPr>
              <w:t>.  Percentage of Transfer Students Who</w:t>
            </w:r>
            <w:r w:rsidR="00E2164B">
              <w:rPr>
                <w:sz w:val="22"/>
                <w:szCs w:val="22"/>
              </w:rPr>
              <w:t xml:space="preserve"> Entered in</w:t>
            </w:r>
            <w:r w:rsidR="00BC1590">
              <w:rPr>
                <w:sz w:val="22"/>
                <w:szCs w:val="22"/>
              </w:rPr>
              <w:t xml:space="preserve"> Fall 2007</w:t>
            </w:r>
            <w:r w:rsidR="007A3C41">
              <w:rPr>
                <w:sz w:val="22"/>
                <w:szCs w:val="22"/>
              </w:rPr>
              <w:t>:</w:t>
            </w:r>
            <w:r w:rsidR="00D76024">
              <w:rPr>
                <w:sz w:val="22"/>
                <w:szCs w:val="22"/>
              </w:rPr>
              <w:t xml:space="preserve"> </w:t>
            </w:r>
          </w:p>
        </w:tc>
      </w:tr>
      <w:tr w:rsidR="00D76024" w:rsidTr="006E4DC2">
        <w:trPr>
          <w:cantSplit/>
          <w:trHeight w:val="432"/>
          <w:tblHeader/>
        </w:trPr>
        <w:tc>
          <w:tcPr>
            <w:tcW w:w="1298" w:type="dxa"/>
            <w:tcBorders>
              <w:top w:val="nil"/>
              <w:left w:val="nil"/>
              <w:bottom w:val="nil"/>
              <w:right w:val="nil"/>
            </w:tcBorders>
            <w:vAlign w:val="center"/>
          </w:tcPr>
          <w:p w:rsidR="00D76024" w:rsidRPr="00D76024" w:rsidRDefault="00D76024" w:rsidP="00A52812">
            <w:pPr>
              <w:jc w:val="center"/>
              <w:rPr>
                <w:b/>
                <w:sz w:val="22"/>
                <w:szCs w:val="22"/>
              </w:rPr>
            </w:pPr>
          </w:p>
        </w:tc>
        <w:tc>
          <w:tcPr>
            <w:tcW w:w="3094" w:type="dxa"/>
            <w:gridSpan w:val="3"/>
            <w:tcBorders>
              <w:top w:val="nil"/>
              <w:left w:val="nil"/>
              <w:bottom w:val="nil"/>
              <w:right w:val="nil"/>
            </w:tcBorders>
            <w:shd w:val="clear" w:color="auto" w:fill="auto"/>
            <w:vAlign w:val="center"/>
          </w:tcPr>
          <w:p w:rsidR="00D76024" w:rsidRDefault="00E2164B" w:rsidP="007A3C41">
            <w:pPr>
              <w:jc w:val="center"/>
              <w:rPr>
                <w:sz w:val="22"/>
                <w:szCs w:val="22"/>
              </w:rPr>
            </w:pPr>
            <w:r>
              <w:rPr>
                <w:sz w:val="22"/>
                <w:szCs w:val="22"/>
              </w:rPr>
              <w:t xml:space="preserve">Who Have </w:t>
            </w:r>
            <w:r w:rsidR="00D76024">
              <w:rPr>
                <w:sz w:val="22"/>
                <w:szCs w:val="22"/>
              </w:rPr>
              <w:t>Graduated from</w:t>
            </w:r>
          </w:p>
        </w:tc>
        <w:tc>
          <w:tcPr>
            <w:tcW w:w="3051" w:type="dxa"/>
            <w:gridSpan w:val="3"/>
            <w:tcBorders>
              <w:top w:val="nil"/>
              <w:left w:val="nil"/>
              <w:bottom w:val="nil"/>
              <w:right w:val="nil"/>
            </w:tcBorders>
            <w:vAlign w:val="center"/>
          </w:tcPr>
          <w:p w:rsidR="00D76024" w:rsidRDefault="00D76024" w:rsidP="00E2164B">
            <w:pPr>
              <w:jc w:val="center"/>
              <w:rPr>
                <w:sz w:val="22"/>
                <w:szCs w:val="22"/>
              </w:rPr>
            </w:pPr>
            <w:r>
              <w:rPr>
                <w:sz w:val="22"/>
                <w:szCs w:val="22"/>
              </w:rPr>
              <w:t xml:space="preserve">Are Still Enrolled </w:t>
            </w:r>
            <w:r w:rsidR="00E2164B">
              <w:rPr>
                <w:sz w:val="22"/>
                <w:szCs w:val="22"/>
              </w:rPr>
              <w:t>in</w:t>
            </w:r>
          </w:p>
        </w:tc>
      </w:tr>
      <w:tr w:rsidR="00D76024" w:rsidTr="00BC1590">
        <w:trPr>
          <w:cantSplit/>
          <w:trHeight w:val="917"/>
          <w:tblHeader/>
        </w:trPr>
        <w:tc>
          <w:tcPr>
            <w:tcW w:w="1298" w:type="dxa"/>
            <w:vMerge w:val="restart"/>
            <w:tcBorders>
              <w:top w:val="nil"/>
              <w:left w:val="nil"/>
              <w:right w:val="single" w:sz="4" w:space="0" w:color="auto"/>
            </w:tcBorders>
            <w:vAlign w:val="center"/>
          </w:tcPr>
          <w:p w:rsidR="00D76024" w:rsidRPr="00D76024" w:rsidRDefault="00D76024" w:rsidP="00A52812">
            <w:pPr>
              <w:jc w:val="center"/>
              <w:rPr>
                <w:sz w:val="22"/>
                <w:szCs w:val="22"/>
              </w:rPr>
            </w:pPr>
            <w:r w:rsidRPr="00D76024">
              <w:rPr>
                <w:sz w:val="22"/>
                <w:szCs w:val="22"/>
              </w:rPr>
              <w:t>Graduation</w:t>
            </w:r>
          </w:p>
          <w:p w:rsidR="00D76024" w:rsidRPr="00D76024" w:rsidRDefault="00D76024" w:rsidP="00A52812">
            <w:pPr>
              <w:jc w:val="center"/>
              <w:rPr>
                <w:b/>
                <w:sz w:val="22"/>
                <w:szCs w:val="22"/>
              </w:rPr>
            </w:pPr>
            <w:r w:rsidRPr="00D76024">
              <w:rPr>
                <w:sz w:val="22"/>
                <w:szCs w:val="22"/>
              </w:rPr>
              <w:t>Semester</w:t>
            </w:r>
          </w:p>
        </w:tc>
        <w:tc>
          <w:tcPr>
            <w:tcW w:w="1011" w:type="dxa"/>
            <w:tcBorders>
              <w:left w:val="single" w:sz="4" w:space="0" w:color="auto"/>
            </w:tcBorders>
            <w:shd w:val="clear" w:color="auto" w:fill="D9D9D9" w:themeFill="background1" w:themeFillShade="D9"/>
            <w:vAlign w:val="center"/>
          </w:tcPr>
          <w:p w:rsidR="00D76024" w:rsidRDefault="00D76024" w:rsidP="00A52812">
            <w:pPr>
              <w:jc w:val="center"/>
              <w:rPr>
                <w:sz w:val="22"/>
                <w:szCs w:val="22"/>
              </w:rPr>
            </w:pPr>
            <w:r>
              <w:rPr>
                <w:sz w:val="22"/>
                <w:szCs w:val="22"/>
              </w:rPr>
              <w:t>FM</w:t>
            </w:r>
          </w:p>
        </w:tc>
        <w:tc>
          <w:tcPr>
            <w:tcW w:w="2083" w:type="dxa"/>
            <w:gridSpan w:val="2"/>
            <w:shd w:val="clear" w:color="auto" w:fill="D9D9D9" w:themeFill="background1" w:themeFillShade="D9"/>
            <w:vAlign w:val="center"/>
          </w:tcPr>
          <w:p w:rsidR="00D76024" w:rsidRDefault="00D76024" w:rsidP="00A52812">
            <w:pPr>
              <w:jc w:val="center"/>
              <w:rPr>
                <w:sz w:val="22"/>
                <w:szCs w:val="22"/>
              </w:rPr>
            </w:pPr>
            <w:r>
              <w:rPr>
                <w:sz w:val="22"/>
                <w:szCs w:val="22"/>
              </w:rPr>
              <w:t>Another Institution</w:t>
            </w:r>
          </w:p>
        </w:tc>
        <w:tc>
          <w:tcPr>
            <w:tcW w:w="981" w:type="dxa"/>
            <w:vAlign w:val="center"/>
          </w:tcPr>
          <w:p w:rsidR="00D76024" w:rsidRDefault="00D76024" w:rsidP="00A52812">
            <w:pPr>
              <w:jc w:val="center"/>
              <w:rPr>
                <w:sz w:val="22"/>
                <w:szCs w:val="22"/>
              </w:rPr>
            </w:pPr>
            <w:r>
              <w:rPr>
                <w:sz w:val="22"/>
                <w:szCs w:val="22"/>
              </w:rPr>
              <w:t>FM</w:t>
            </w:r>
          </w:p>
        </w:tc>
        <w:tc>
          <w:tcPr>
            <w:tcW w:w="2070" w:type="dxa"/>
            <w:gridSpan w:val="2"/>
            <w:vAlign w:val="center"/>
          </w:tcPr>
          <w:p w:rsidR="00D76024" w:rsidRDefault="00D76024" w:rsidP="00A52812">
            <w:pPr>
              <w:jc w:val="center"/>
              <w:rPr>
                <w:sz w:val="22"/>
                <w:szCs w:val="22"/>
              </w:rPr>
            </w:pPr>
            <w:r>
              <w:rPr>
                <w:sz w:val="22"/>
                <w:szCs w:val="22"/>
              </w:rPr>
              <w:t>Another Institution</w:t>
            </w:r>
          </w:p>
        </w:tc>
      </w:tr>
      <w:tr w:rsidR="00D76024" w:rsidTr="007242B8">
        <w:trPr>
          <w:cantSplit/>
          <w:trHeight w:val="432"/>
          <w:tblHeader/>
        </w:trPr>
        <w:tc>
          <w:tcPr>
            <w:tcW w:w="1298" w:type="dxa"/>
            <w:vMerge/>
            <w:tcBorders>
              <w:left w:val="nil"/>
              <w:bottom w:val="single" w:sz="4" w:space="0" w:color="auto"/>
              <w:right w:val="single" w:sz="4" w:space="0" w:color="auto"/>
            </w:tcBorders>
            <w:vAlign w:val="center"/>
          </w:tcPr>
          <w:p w:rsidR="00D76024" w:rsidRPr="00D76024" w:rsidRDefault="00D76024" w:rsidP="00A52812">
            <w:pPr>
              <w:jc w:val="center"/>
              <w:rPr>
                <w:b/>
                <w:sz w:val="22"/>
                <w:szCs w:val="22"/>
              </w:rPr>
            </w:pPr>
          </w:p>
        </w:tc>
        <w:tc>
          <w:tcPr>
            <w:tcW w:w="1011" w:type="dxa"/>
            <w:tcBorders>
              <w:left w:val="single" w:sz="4" w:space="0" w:color="auto"/>
            </w:tcBorders>
            <w:shd w:val="clear" w:color="auto" w:fill="D9D9D9" w:themeFill="background1" w:themeFillShade="D9"/>
            <w:vAlign w:val="center"/>
          </w:tcPr>
          <w:p w:rsidR="00D76024" w:rsidRDefault="00D76024" w:rsidP="00A52812">
            <w:pPr>
              <w:jc w:val="center"/>
              <w:rPr>
                <w:sz w:val="22"/>
                <w:szCs w:val="22"/>
              </w:rPr>
            </w:pPr>
            <w:r>
              <w:rPr>
                <w:sz w:val="22"/>
                <w:szCs w:val="22"/>
              </w:rPr>
              <w:t>Bachelor</w:t>
            </w:r>
          </w:p>
          <w:p w:rsidR="00D76024" w:rsidRDefault="00D76024" w:rsidP="00A52812">
            <w:pPr>
              <w:jc w:val="center"/>
              <w:rPr>
                <w:sz w:val="22"/>
                <w:szCs w:val="22"/>
              </w:rPr>
            </w:pPr>
            <w:r>
              <w:rPr>
                <w:sz w:val="22"/>
                <w:szCs w:val="22"/>
              </w:rPr>
              <w:t>Degree</w:t>
            </w:r>
          </w:p>
        </w:tc>
        <w:tc>
          <w:tcPr>
            <w:tcW w:w="1072" w:type="dxa"/>
            <w:shd w:val="clear" w:color="auto" w:fill="D9D9D9" w:themeFill="background1" w:themeFillShade="D9"/>
            <w:vAlign w:val="center"/>
          </w:tcPr>
          <w:p w:rsidR="00D76024" w:rsidRDefault="00D76024" w:rsidP="00A52812">
            <w:pPr>
              <w:jc w:val="center"/>
              <w:rPr>
                <w:sz w:val="22"/>
                <w:szCs w:val="22"/>
              </w:rPr>
            </w:pPr>
            <w:r>
              <w:rPr>
                <w:sz w:val="22"/>
                <w:szCs w:val="22"/>
              </w:rPr>
              <w:t>Associate</w:t>
            </w:r>
          </w:p>
          <w:p w:rsidR="00D76024" w:rsidRDefault="00D76024" w:rsidP="00A52812">
            <w:pPr>
              <w:jc w:val="center"/>
              <w:rPr>
                <w:sz w:val="22"/>
                <w:szCs w:val="22"/>
              </w:rPr>
            </w:pPr>
            <w:r>
              <w:rPr>
                <w:sz w:val="22"/>
                <w:szCs w:val="22"/>
              </w:rPr>
              <w:t>Degree</w:t>
            </w:r>
          </w:p>
        </w:tc>
        <w:tc>
          <w:tcPr>
            <w:tcW w:w="1011" w:type="dxa"/>
            <w:shd w:val="clear" w:color="auto" w:fill="D9D9D9" w:themeFill="background1" w:themeFillShade="D9"/>
            <w:vAlign w:val="center"/>
          </w:tcPr>
          <w:p w:rsidR="00D76024" w:rsidRDefault="00D76024" w:rsidP="00A52812">
            <w:pPr>
              <w:jc w:val="center"/>
              <w:rPr>
                <w:sz w:val="22"/>
                <w:szCs w:val="22"/>
              </w:rPr>
            </w:pPr>
            <w:r>
              <w:rPr>
                <w:sz w:val="22"/>
                <w:szCs w:val="22"/>
              </w:rPr>
              <w:t>Bachelor</w:t>
            </w:r>
          </w:p>
          <w:p w:rsidR="00D76024" w:rsidRDefault="00D76024" w:rsidP="00A52812">
            <w:pPr>
              <w:jc w:val="center"/>
              <w:rPr>
                <w:sz w:val="22"/>
                <w:szCs w:val="22"/>
              </w:rPr>
            </w:pPr>
            <w:r>
              <w:rPr>
                <w:sz w:val="22"/>
                <w:szCs w:val="22"/>
              </w:rPr>
              <w:t>Degree</w:t>
            </w:r>
          </w:p>
        </w:tc>
        <w:tc>
          <w:tcPr>
            <w:tcW w:w="981" w:type="dxa"/>
            <w:vAlign w:val="center"/>
          </w:tcPr>
          <w:p w:rsidR="00D76024" w:rsidRDefault="006E4DC2" w:rsidP="006E4DC2">
            <w:pPr>
              <w:rPr>
                <w:sz w:val="22"/>
                <w:szCs w:val="22"/>
              </w:rPr>
            </w:pPr>
            <w:r>
              <w:rPr>
                <w:sz w:val="22"/>
                <w:szCs w:val="22"/>
              </w:rPr>
              <w:t xml:space="preserve">                 </w:t>
            </w:r>
          </w:p>
        </w:tc>
        <w:tc>
          <w:tcPr>
            <w:tcW w:w="990" w:type="dxa"/>
            <w:vAlign w:val="center"/>
          </w:tcPr>
          <w:p w:rsidR="00D76024" w:rsidRDefault="007242B8" w:rsidP="007242B8">
            <w:pPr>
              <w:jc w:val="center"/>
              <w:rPr>
                <w:sz w:val="22"/>
                <w:szCs w:val="22"/>
              </w:rPr>
            </w:pPr>
            <w:r>
              <w:rPr>
                <w:sz w:val="22"/>
                <w:szCs w:val="22"/>
              </w:rPr>
              <w:t>2-year</w:t>
            </w:r>
          </w:p>
        </w:tc>
        <w:tc>
          <w:tcPr>
            <w:tcW w:w="1080" w:type="dxa"/>
            <w:vAlign w:val="center"/>
          </w:tcPr>
          <w:p w:rsidR="007242B8" w:rsidRDefault="007242B8" w:rsidP="007242B8">
            <w:pPr>
              <w:jc w:val="center"/>
              <w:rPr>
                <w:sz w:val="22"/>
                <w:szCs w:val="22"/>
              </w:rPr>
            </w:pPr>
            <w:r>
              <w:rPr>
                <w:sz w:val="22"/>
                <w:szCs w:val="22"/>
              </w:rPr>
              <w:t>4-year</w:t>
            </w:r>
          </w:p>
        </w:tc>
      </w:tr>
      <w:tr w:rsidR="00D830BC" w:rsidTr="007242B8">
        <w:trPr>
          <w:cantSplit/>
          <w:trHeight w:val="432"/>
          <w:tblHeader/>
        </w:trPr>
        <w:tc>
          <w:tcPr>
            <w:tcW w:w="1298" w:type="dxa"/>
            <w:tcBorders>
              <w:top w:val="single" w:sz="4" w:space="0" w:color="auto"/>
            </w:tcBorders>
            <w:vAlign w:val="center"/>
          </w:tcPr>
          <w:p w:rsidR="00D830BC" w:rsidRDefault="00D830BC" w:rsidP="00A52812">
            <w:pPr>
              <w:jc w:val="center"/>
              <w:rPr>
                <w:sz w:val="22"/>
                <w:szCs w:val="22"/>
              </w:rPr>
            </w:pPr>
            <w:r>
              <w:rPr>
                <w:sz w:val="22"/>
                <w:szCs w:val="22"/>
              </w:rPr>
              <w:t>Spring 2010</w:t>
            </w:r>
          </w:p>
        </w:tc>
        <w:tc>
          <w:tcPr>
            <w:tcW w:w="1011" w:type="dxa"/>
            <w:shd w:val="clear" w:color="auto" w:fill="D9D9D9" w:themeFill="background1" w:themeFillShade="D9"/>
            <w:vAlign w:val="center"/>
          </w:tcPr>
          <w:p w:rsidR="00D830BC" w:rsidRDefault="00D830BC" w:rsidP="00A52812">
            <w:pPr>
              <w:jc w:val="center"/>
              <w:rPr>
                <w:sz w:val="22"/>
                <w:szCs w:val="22"/>
              </w:rPr>
            </w:pPr>
            <w:r>
              <w:rPr>
                <w:sz w:val="22"/>
                <w:szCs w:val="22"/>
              </w:rPr>
              <w:t>28.2</w:t>
            </w:r>
          </w:p>
        </w:tc>
        <w:tc>
          <w:tcPr>
            <w:tcW w:w="1072" w:type="dxa"/>
            <w:shd w:val="clear" w:color="auto" w:fill="D9D9D9" w:themeFill="background1" w:themeFillShade="D9"/>
            <w:vAlign w:val="center"/>
          </w:tcPr>
          <w:p w:rsidR="00D830BC" w:rsidRDefault="00D830BC" w:rsidP="00A52812">
            <w:pPr>
              <w:jc w:val="center"/>
              <w:rPr>
                <w:sz w:val="22"/>
                <w:szCs w:val="22"/>
              </w:rPr>
            </w:pPr>
            <w:r>
              <w:rPr>
                <w:sz w:val="22"/>
                <w:szCs w:val="22"/>
              </w:rPr>
              <w:t>1.1</w:t>
            </w:r>
          </w:p>
        </w:tc>
        <w:tc>
          <w:tcPr>
            <w:tcW w:w="1011" w:type="dxa"/>
            <w:shd w:val="clear" w:color="auto" w:fill="D9D9D9" w:themeFill="background1" w:themeFillShade="D9"/>
            <w:vAlign w:val="center"/>
          </w:tcPr>
          <w:p w:rsidR="00D830BC" w:rsidRDefault="00D830BC" w:rsidP="00A52812">
            <w:pPr>
              <w:jc w:val="center"/>
              <w:rPr>
                <w:sz w:val="22"/>
                <w:szCs w:val="22"/>
              </w:rPr>
            </w:pPr>
            <w:r>
              <w:rPr>
                <w:sz w:val="22"/>
                <w:szCs w:val="22"/>
              </w:rPr>
              <w:t>2.8</w:t>
            </w:r>
          </w:p>
        </w:tc>
        <w:tc>
          <w:tcPr>
            <w:tcW w:w="981" w:type="dxa"/>
            <w:vAlign w:val="center"/>
          </w:tcPr>
          <w:p w:rsidR="00D830BC" w:rsidRDefault="00D830BC" w:rsidP="00A52812">
            <w:pPr>
              <w:jc w:val="center"/>
              <w:rPr>
                <w:sz w:val="22"/>
                <w:szCs w:val="22"/>
              </w:rPr>
            </w:pPr>
            <w:r>
              <w:rPr>
                <w:sz w:val="22"/>
                <w:szCs w:val="22"/>
              </w:rPr>
              <w:t>33</w:t>
            </w:r>
          </w:p>
        </w:tc>
        <w:tc>
          <w:tcPr>
            <w:tcW w:w="990" w:type="dxa"/>
            <w:vAlign w:val="center"/>
          </w:tcPr>
          <w:p w:rsidR="00D830BC" w:rsidRDefault="00D830BC" w:rsidP="00A52812">
            <w:pPr>
              <w:jc w:val="center"/>
              <w:rPr>
                <w:sz w:val="22"/>
                <w:szCs w:val="22"/>
              </w:rPr>
            </w:pPr>
            <w:r>
              <w:rPr>
                <w:sz w:val="22"/>
                <w:szCs w:val="22"/>
              </w:rPr>
              <w:t>9.0</w:t>
            </w:r>
          </w:p>
        </w:tc>
        <w:tc>
          <w:tcPr>
            <w:tcW w:w="1080" w:type="dxa"/>
            <w:vAlign w:val="center"/>
          </w:tcPr>
          <w:p w:rsidR="00D830BC" w:rsidRDefault="00D830BC" w:rsidP="00A52812">
            <w:pPr>
              <w:jc w:val="center"/>
              <w:rPr>
                <w:sz w:val="22"/>
                <w:szCs w:val="22"/>
              </w:rPr>
            </w:pPr>
            <w:r>
              <w:rPr>
                <w:sz w:val="22"/>
                <w:szCs w:val="22"/>
              </w:rPr>
              <w:t>7.9</w:t>
            </w:r>
          </w:p>
        </w:tc>
      </w:tr>
      <w:tr w:rsidR="00D830BC" w:rsidTr="007242B8">
        <w:trPr>
          <w:cantSplit/>
          <w:trHeight w:val="432"/>
          <w:tblHeader/>
        </w:trPr>
        <w:tc>
          <w:tcPr>
            <w:tcW w:w="1298" w:type="dxa"/>
            <w:vAlign w:val="center"/>
          </w:tcPr>
          <w:p w:rsidR="00D830BC" w:rsidRDefault="00D830BC" w:rsidP="00A52812">
            <w:pPr>
              <w:jc w:val="center"/>
              <w:rPr>
                <w:sz w:val="22"/>
                <w:szCs w:val="22"/>
              </w:rPr>
            </w:pPr>
            <w:r>
              <w:rPr>
                <w:sz w:val="22"/>
                <w:szCs w:val="22"/>
              </w:rPr>
              <w:t>Spring 2011</w:t>
            </w:r>
          </w:p>
        </w:tc>
        <w:tc>
          <w:tcPr>
            <w:tcW w:w="1011" w:type="dxa"/>
            <w:shd w:val="clear" w:color="auto" w:fill="D9D9D9" w:themeFill="background1" w:themeFillShade="D9"/>
            <w:vAlign w:val="center"/>
          </w:tcPr>
          <w:p w:rsidR="00D830BC" w:rsidRDefault="00D830BC" w:rsidP="00A52812">
            <w:pPr>
              <w:jc w:val="center"/>
              <w:rPr>
                <w:sz w:val="22"/>
                <w:szCs w:val="22"/>
              </w:rPr>
            </w:pPr>
            <w:r>
              <w:rPr>
                <w:sz w:val="22"/>
                <w:szCs w:val="22"/>
              </w:rPr>
              <w:t>45.8</w:t>
            </w:r>
          </w:p>
        </w:tc>
        <w:tc>
          <w:tcPr>
            <w:tcW w:w="1072" w:type="dxa"/>
            <w:shd w:val="clear" w:color="auto" w:fill="D9D9D9" w:themeFill="background1" w:themeFillShade="D9"/>
            <w:vAlign w:val="center"/>
          </w:tcPr>
          <w:p w:rsidR="00D830BC" w:rsidRDefault="00D830BC" w:rsidP="00A52812">
            <w:pPr>
              <w:jc w:val="center"/>
              <w:rPr>
                <w:sz w:val="22"/>
                <w:szCs w:val="22"/>
              </w:rPr>
            </w:pPr>
            <w:r>
              <w:rPr>
                <w:sz w:val="22"/>
                <w:szCs w:val="22"/>
              </w:rPr>
              <w:t>1.1</w:t>
            </w:r>
          </w:p>
        </w:tc>
        <w:tc>
          <w:tcPr>
            <w:tcW w:w="1011" w:type="dxa"/>
            <w:shd w:val="clear" w:color="auto" w:fill="D9D9D9" w:themeFill="background1" w:themeFillShade="D9"/>
            <w:vAlign w:val="center"/>
          </w:tcPr>
          <w:p w:rsidR="00D830BC" w:rsidRDefault="00D830BC" w:rsidP="00A52812">
            <w:pPr>
              <w:jc w:val="center"/>
              <w:rPr>
                <w:sz w:val="22"/>
                <w:szCs w:val="22"/>
              </w:rPr>
            </w:pPr>
            <w:r>
              <w:rPr>
                <w:sz w:val="22"/>
                <w:szCs w:val="22"/>
              </w:rPr>
              <w:t>4.0</w:t>
            </w:r>
          </w:p>
        </w:tc>
        <w:tc>
          <w:tcPr>
            <w:tcW w:w="981" w:type="dxa"/>
            <w:vAlign w:val="center"/>
          </w:tcPr>
          <w:p w:rsidR="00D830BC" w:rsidRDefault="00D830BC" w:rsidP="00A52812">
            <w:pPr>
              <w:jc w:val="center"/>
              <w:rPr>
                <w:sz w:val="22"/>
                <w:szCs w:val="22"/>
              </w:rPr>
            </w:pPr>
            <w:r>
              <w:rPr>
                <w:sz w:val="22"/>
                <w:szCs w:val="22"/>
              </w:rPr>
              <w:t>13</w:t>
            </w:r>
          </w:p>
        </w:tc>
        <w:tc>
          <w:tcPr>
            <w:tcW w:w="990" w:type="dxa"/>
            <w:vAlign w:val="center"/>
          </w:tcPr>
          <w:p w:rsidR="00D830BC" w:rsidRDefault="00D830BC" w:rsidP="00A52812">
            <w:pPr>
              <w:jc w:val="center"/>
              <w:rPr>
                <w:sz w:val="22"/>
                <w:szCs w:val="22"/>
              </w:rPr>
            </w:pPr>
            <w:r>
              <w:rPr>
                <w:sz w:val="22"/>
                <w:szCs w:val="22"/>
              </w:rPr>
              <w:t>8.5</w:t>
            </w:r>
          </w:p>
        </w:tc>
        <w:tc>
          <w:tcPr>
            <w:tcW w:w="1080" w:type="dxa"/>
            <w:vAlign w:val="center"/>
          </w:tcPr>
          <w:p w:rsidR="00D830BC" w:rsidRDefault="00D830BC" w:rsidP="00A52812">
            <w:pPr>
              <w:jc w:val="center"/>
              <w:rPr>
                <w:sz w:val="22"/>
                <w:szCs w:val="22"/>
              </w:rPr>
            </w:pPr>
            <w:r>
              <w:rPr>
                <w:sz w:val="22"/>
                <w:szCs w:val="22"/>
              </w:rPr>
              <w:t>7.3</w:t>
            </w:r>
          </w:p>
        </w:tc>
      </w:tr>
      <w:tr w:rsidR="00D830BC" w:rsidTr="007242B8">
        <w:trPr>
          <w:cantSplit/>
          <w:trHeight w:val="432"/>
          <w:tblHeader/>
        </w:trPr>
        <w:tc>
          <w:tcPr>
            <w:tcW w:w="1298" w:type="dxa"/>
            <w:vAlign w:val="center"/>
          </w:tcPr>
          <w:p w:rsidR="00D830BC" w:rsidRDefault="00D830BC" w:rsidP="00A52812">
            <w:pPr>
              <w:jc w:val="center"/>
              <w:rPr>
                <w:sz w:val="22"/>
                <w:szCs w:val="22"/>
              </w:rPr>
            </w:pPr>
            <w:r>
              <w:rPr>
                <w:sz w:val="22"/>
                <w:szCs w:val="22"/>
              </w:rPr>
              <w:t>Spring 2012</w:t>
            </w:r>
          </w:p>
        </w:tc>
        <w:tc>
          <w:tcPr>
            <w:tcW w:w="1011" w:type="dxa"/>
            <w:shd w:val="clear" w:color="auto" w:fill="D9D9D9" w:themeFill="background1" w:themeFillShade="D9"/>
            <w:vAlign w:val="center"/>
          </w:tcPr>
          <w:p w:rsidR="00D830BC" w:rsidRDefault="00D830BC" w:rsidP="00A52812">
            <w:pPr>
              <w:jc w:val="center"/>
              <w:rPr>
                <w:sz w:val="22"/>
                <w:szCs w:val="22"/>
              </w:rPr>
            </w:pPr>
            <w:r>
              <w:rPr>
                <w:sz w:val="22"/>
                <w:szCs w:val="22"/>
              </w:rPr>
              <w:t>52</w:t>
            </w:r>
          </w:p>
        </w:tc>
        <w:tc>
          <w:tcPr>
            <w:tcW w:w="1072" w:type="dxa"/>
            <w:shd w:val="clear" w:color="auto" w:fill="D9D9D9" w:themeFill="background1" w:themeFillShade="D9"/>
            <w:vAlign w:val="center"/>
          </w:tcPr>
          <w:p w:rsidR="00D830BC" w:rsidRDefault="00D830BC" w:rsidP="00A52812">
            <w:pPr>
              <w:jc w:val="center"/>
              <w:rPr>
                <w:sz w:val="22"/>
                <w:szCs w:val="22"/>
              </w:rPr>
            </w:pPr>
            <w:r>
              <w:rPr>
                <w:sz w:val="22"/>
                <w:szCs w:val="22"/>
              </w:rPr>
              <w:t>2.3</w:t>
            </w:r>
          </w:p>
        </w:tc>
        <w:tc>
          <w:tcPr>
            <w:tcW w:w="1011" w:type="dxa"/>
            <w:shd w:val="clear" w:color="auto" w:fill="D9D9D9" w:themeFill="background1" w:themeFillShade="D9"/>
            <w:vAlign w:val="center"/>
          </w:tcPr>
          <w:p w:rsidR="00D830BC" w:rsidRDefault="00D830BC" w:rsidP="00A52812">
            <w:pPr>
              <w:jc w:val="center"/>
              <w:rPr>
                <w:sz w:val="22"/>
                <w:szCs w:val="22"/>
              </w:rPr>
            </w:pPr>
            <w:r>
              <w:rPr>
                <w:sz w:val="22"/>
                <w:szCs w:val="22"/>
              </w:rPr>
              <w:t>5.6</w:t>
            </w:r>
          </w:p>
        </w:tc>
        <w:tc>
          <w:tcPr>
            <w:tcW w:w="981" w:type="dxa"/>
            <w:vAlign w:val="center"/>
          </w:tcPr>
          <w:p w:rsidR="00D830BC" w:rsidRDefault="00D830BC" w:rsidP="00A52812">
            <w:pPr>
              <w:jc w:val="center"/>
              <w:rPr>
                <w:sz w:val="22"/>
                <w:szCs w:val="22"/>
              </w:rPr>
            </w:pPr>
            <w:r>
              <w:rPr>
                <w:sz w:val="22"/>
                <w:szCs w:val="22"/>
              </w:rPr>
              <w:t>2.8</w:t>
            </w:r>
          </w:p>
        </w:tc>
        <w:tc>
          <w:tcPr>
            <w:tcW w:w="990" w:type="dxa"/>
            <w:vAlign w:val="center"/>
          </w:tcPr>
          <w:p w:rsidR="00D830BC" w:rsidRDefault="00D830BC" w:rsidP="00A52812">
            <w:pPr>
              <w:jc w:val="center"/>
              <w:rPr>
                <w:sz w:val="22"/>
                <w:szCs w:val="22"/>
              </w:rPr>
            </w:pPr>
            <w:r>
              <w:rPr>
                <w:sz w:val="22"/>
                <w:szCs w:val="22"/>
              </w:rPr>
              <w:t>7.3</w:t>
            </w:r>
          </w:p>
        </w:tc>
        <w:tc>
          <w:tcPr>
            <w:tcW w:w="1080" w:type="dxa"/>
            <w:vAlign w:val="center"/>
          </w:tcPr>
          <w:p w:rsidR="00D830BC" w:rsidRDefault="00D830BC" w:rsidP="00A52812">
            <w:pPr>
              <w:jc w:val="center"/>
              <w:rPr>
                <w:sz w:val="22"/>
                <w:szCs w:val="22"/>
              </w:rPr>
            </w:pPr>
            <w:r>
              <w:rPr>
                <w:sz w:val="22"/>
                <w:szCs w:val="22"/>
              </w:rPr>
              <w:t>6.8</w:t>
            </w:r>
          </w:p>
        </w:tc>
      </w:tr>
      <w:tr w:rsidR="00D830BC" w:rsidTr="007242B8">
        <w:trPr>
          <w:cantSplit/>
          <w:trHeight w:val="432"/>
          <w:tblHeader/>
        </w:trPr>
        <w:tc>
          <w:tcPr>
            <w:tcW w:w="1298" w:type="dxa"/>
            <w:vAlign w:val="center"/>
          </w:tcPr>
          <w:p w:rsidR="00D830BC" w:rsidRDefault="00D830BC" w:rsidP="00A52812">
            <w:pPr>
              <w:jc w:val="center"/>
              <w:rPr>
                <w:sz w:val="22"/>
                <w:szCs w:val="22"/>
              </w:rPr>
            </w:pPr>
            <w:r>
              <w:rPr>
                <w:sz w:val="22"/>
                <w:szCs w:val="22"/>
              </w:rPr>
              <w:t>Spring 2013</w:t>
            </w:r>
          </w:p>
        </w:tc>
        <w:tc>
          <w:tcPr>
            <w:tcW w:w="1011" w:type="dxa"/>
            <w:shd w:val="clear" w:color="auto" w:fill="D9D9D9" w:themeFill="background1" w:themeFillShade="D9"/>
            <w:vAlign w:val="center"/>
          </w:tcPr>
          <w:p w:rsidR="00D830BC" w:rsidRDefault="00D830BC" w:rsidP="00A52812">
            <w:pPr>
              <w:jc w:val="center"/>
              <w:rPr>
                <w:sz w:val="22"/>
                <w:szCs w:val="22"/>
              </w:rPr>
            </w:pPr>
            <w:r>
              <w:rPr>
                <w:sz w:val="22"/>
                <w:szCs w:val="22"/>
              </w:rPr>
              <w:t>52.5</w:t>
            </w:r>
          </w:p>
        </w:tc>
        <w:tc>
          <w:tcPr>
            <w:tcW w:w="1072" w:type="dxa"/>
            <w:shd w:val="clear" w:color="auto" w:fill="D9D9D9" w:themeFill="background1" w:themeFillShade="D9"/>
            <w:vAlign w:val="center"/>
          </w:tcPr>
          <w:p w:rsidR="00D830BC" w:rsidRDefault="00D830BC" w:rsidP="00A52812">
            <w:pPr>
              <w:jc w:val="center"/>
              <w:rPr>
                <w:sz w:val="22"/>
                <w:szCs w:val="22"/>
              </w:rPr>
            </w:pPr>
            <w:r>
              <w:rPr>
                <w:sz w:val="22"/>
                <w:szCs w:val="22"/>
              </w:rPr>
              <w:t>2.8</w:t>
            </w:r>
          </w:p>
        </w:tc>
        <w:tc>
          <w:tcPr>
            <w:tcW w:w="1011" w:type="dxa"/>
            <w:shd w:val="clear" w:color="auto" w:fill="D9D9D9" w:themeFill="background1" w:themeFillShade="D9"/>
            <w:vAlign w:val="center"/>
          </w:tcPr>
          <w:p w:rsidR="00D830BC" w:rsidRDefault="00D830BC" w:rsidP="00A52812">
            <w:pPr>
              <w:jc w:val="center"/>
              <w:rPr>
                <w:sz w:val="22"/>
                <w:szCs w:val="22"/>
              </w:rPr>
            </w:pPr>
            <w:r>
              <w:rPr>
                <w:sz w:val="22"/>
                <w:szCs w:val="22"/>
              </w:rPr>
              <w:t>7.9</w:t>
            </w:r>
          </w:p>
        </w:tc>
        <w:tc>
          <w:tcPr>
            <w:tcW w:w="981" w:type="dxa"/>
            <w:vAlign w:val="center"/>
          </w:tcPr>
          <w:p w:rsidR="00D830BC" w:rsidRDefault="00D830BC" w:rsidP="00A52812">
            <w:pPr>
              <w:jc w:val="center"/>
              <w:rPr>
                <w:sz w:val="22"/>
                <w:szCs w:val="22"/>
              </w:rPr>
            </w:pPr>
            <w:r>
              <w:rPr>
                <w:sz w:val="22"/>
                <w:szCs w:val="22"/>
              </w:rPr>
              <w:t>1.7</w:t>
            </w:r>
          </w:p>
        </w:tc>
        <w:tc>
          <w:tcPr>
            <w:tcW w:w="990" w:type="dxa"/>
            <w:vAlign w:val="center"/>
          </w:tcPr>
          <w:p w:rsidR="00D830BC" w:rsidRDefault="00D830BC" w:rsidP="00A52812">
            <w:pPr>
              <w:jc w:val="center"/>
              <w:rPr>
                <w:sz w:val="22"/>
                <w:szCs w:val="22"/>
              </w:rPr>
            </w:pPr>
            <w:r>
              <w:rPr>
                <w:sz w:val="22"/>
                <w:szCs w:val="22"/>
              </w:rPr>
              <w:t>4.5</w:t>
            </w:r>
          </w:p>
        </w:tc>
        <w:tc>
          <w:tcPr>
            <w:tcW w:w="1080" w:type="dxa"/>
            <w:vAlign w:val="center"/>
          </w:tcPr>
          <w:p w:rsidR="00D830BC" w:rsidRDefault="00D830BC" w:rsidP="00A52812">
            <w:pPr>
              <w:jc w:val="center"/>
              <w:rPr>
                <w:sz w:val="22"/>
                <w:szCs w:val="22"/>
              </w:rPr>
            </w:pPr>
            <w:r>
              <w:rPr>
                <w:sz w:val="22"/>
                <w:szCs w:val="22"/>
              </w:rPr>
              <w:t>4.5</w:t>
            </w:r>
          </w:p>
        </w:tc>
      </w:tr>
    </w:tbl>
    <w:p w:rsidR="00D76024" w:rsidRDefault="00D76024">
      <w:pPr>
        <w:rPr>
          <w:sz w:val="22"/>
          <w:szCs w:val="22"/>
        </w:rPr>
      </w:pPr>
    </w:p>
    <w:p w:rsidR="00D76024" w:rsidRDefault="00D76024">
      <w:pPr>
        <w:rPr>
          <w:sz w:val="22"/>
          <w:szCs w:val="22"/>
        </w:rPr>
      </w:pPr>
    </w:p>
    <w:p w:rsidR="004A4778" w:rsidRPr="000F0F8B" w:rsidRDefault="004A4778">
      <w:pPr>
        <w:rPr>
          <w:rFonts w:ascii="Arial" w:hAnsi="Arial"/>
          <w:b/>
          <w:sz w:val="22"/>
          <w:szCs w:val="22"/>
        </w:rPr>
      </w:pPr>
      <w:r w:rsidRPr="000F0F8B">
        <w:rPr>
          <w:sz w:val="22"/>
          <w:szCs w:val="22"/>
        </w:rPr>
        <w:t>The Registrar’s Office also maintains a database that can be used for tracking graduation rates.  For example, the graduation rate for December 20</w:t>
      </w:r>
      <w:r w:rsidR="000C3748">
        <w:rPr>
          <w:sz w:val="22"/>
          <w:szCs w:val="22"/>
        </w:rPr>
        <w:t>13</w:t>
      </w:r>
      <w:r w:rsidRPr="000F0F8B">
        <w:rPr>
          <w:sz w:val="22"/>
          <w:szCs w:val="22"/>
        </w:rPr>
        <w:t xml:space="preserve"> was reported by the Registrar to include a total of 2</w:t>
      </w:r>
      <w:r w:rsidR="00F0297C" w:rsidRPr="000F0F8B">
        <w:rPr>
          <w:sz w:val="22"/>
          <w:szCs w:val="22"/>
        </w:rPr>
        <w:t>55</w:t>
      </w:r>
      <w:r w:rsidRPr="000F0F8B">
        <w:rPr>
          <w:sz w:val="22"/>
          <w:szCs w:val="22"/>
        </w:rPr>
        <w:t xml:space="preserve"> undergraduates and </w:t>
      </w:r>
      <w:r w:rsidR="00F0297C" w:rsidRPr="000F0F8B">
        <w:rPr>
          <w:sz w:val="22"/>
          <w:szCs w:val="22"/>
        </w:rPr>
        <w:t>43</w:t>
      </w:r>
      <w:r w:rsidRPr="000F0F8B">
        <w:rPr>
          <w:sz w:val="22"/>
          <w:szCs w:val="22"/>
        </w:rPr>
        <w:t xml:space="preserve"> graduate students</w:t>
      </w:r>
      <w:r w:rsidR="00360EE0">
        <w:rPr>
          <w:sz w:val="22"/>
          <w:szCs w:val="22"/>
        </w:rPr>
        <w:t>.</w:t>
      </w:r>
    </w:p>
    <w:p w:rsidR="004A4778" w:rsidRDefault="004A4778">
      <w:pPr>
        <w:rPr>
          <w:sz w:val="22"/>
          <w:szCs w:val="22"/>
        </w:rPr>
      </w:pPr>
    </w:p>
    <w:p w:rsidR="00B90801" w:rsidRPr="00B90801" w:rsidRDefault="00B90801">
      <w:pPr>
        <w:rPr>
          <w:b/>
          <w:sz w:val="22"/>
          <w:szCs w:val="22"/>
        </w:rPr>
      </w:pPr>
      <w:r w:rsidRPr="00B90801">
        <w:rPr>
          <w:b/>
          <w:sz w:val="22"/>
          <w:szCs w:val="22"/>
        </w:rPr>
        <w:t>State licensing examinations</w:t>
      </w:r>
    </w:p>
    <w:p w:rsidR="00B90801" w:rsidRPr="000F0F8B" w:rsidRDefault="00B90801">
      <w:pPr>
        <w:rPr>
          <w:sz w:val="22"/>
          <w:szCs w:val="22"/>
        </w:rPr>
      </w:pPr>
    </w:p>
    <w:p w:rsidR="004A4778" w:rsidRPr="000F0F8B" w:rsidRDefault="004A4778">
      <w:pPr>
        <w:rPr>
          <w:sz w:val="22"/>
          <w:szCs w:val="22"/>
        </w:rPr>
      </w:pPr>
      <w:r w:rsidRPr="000F0F8B">
        <w:rPr>
          <w:sz w:val="22"/>
          <w:szCs w:val="22"/>
        </w:rPr>
        <w:t>The University uses numerous variables in the ongoing planning process and evaluation of student achievement.  The reports and analyses of these data are maintained by the University’s Office of Institutional Research</w:t>
      </w:r>
      <w:r w:rsidR="003412DE" w:rsidRPr="000F0F8B">
        <w:rPr>
          <w:sz w:val="22"/>
          <w:szCs w:val="22"/>
        </w:rPr>
        <w:t xml:space="preserve"> which</w:t>
      </w:r>
      <w:r w:rsidRPr="000F0F8B">
        <w:rPr>
          <w:sz w:val="22"/>
          <w:szCs w:val="22"/>
        </w:rPr>
        <w:t xml:space="preserve"> collects departmental reports on successful completion of state licensing examinations.</w:t>
      </w:r>
      <w:r w:rsidR="003412DE" w:rsidRPr="000F0F8B">
        <w:rPr>
          <w:sz w:val="22"/>
          <w:szCs w:val="22"/>
        </w:rPr>
        <w:t xml:space="preserve">  These data are presented annually in the </w:t>
      </w:r>
      <w:r w:rsidR="003412DE" w:rsidRPr="000F0F8B">
        <w:rPr>
          <w:i/>
          <w:sz w:val="22"/>
          <w:szCs w:val="22"/>
        </w:rPr>
        <w:t>Annual Accountability Report</w:t>
      </w:r>
      <w:r w:rsidR="003412DE" w:rsidRPr="000F0F8B">
        <w:rPr>
          <w:sz w:val="22"/>
          <w:szCs w:val="22"/>
        </w:rPr>
        <w:t xml:space="preserve"> which is submitted to the Office of the State (SC) Budget and are as follows:</w:t>
      </w:r>
    </w:p>
    <w:p w:rsidR="004A4778" w:rsidRPr="000F0F8B" w:rsidRDefault="004A4778">
      <w:pPr>
        <w:rPr>
          <w:sz w:val="22"/>
          <w:szCs w:val="22"/>
        </w:rPr>
      </w:pPr>
    </w:p>
    <w:p w:rsidR="00884F7D" w:rsidRPr="000F0F8B" w:rsidRDefault="004A4778" w:rsidP="003412DE">
      <w:pPr>
        <w:pStyle w:val="ListParagraph"/>
        <w:numPr>
          <w:ilvl w:val="0"/>
          <w:numId w:val="3"/>
        </w:numPr>
        <w:rPr>
          <w:sz w:val="22"/>
          <w:szCs w:val="22"/>
        </w:rPr>
      </w:pPr>
      <w:r w:rsidRPr="000F0F8B">
        <w:rPr>
          <w:sz w:val="22"/>
          <w:szCs w:val="22"/>
        </w:rPr>
        <w:t xml:space="preserve">The </w:t>
      </w:r>
      <w:r w:rsidR="003412DE" w:rsidRPr="000F0F8B">
        <w:rPr>
          <w:sz w:val="22"/>
          <w:szCs w:val="22"/>
        </w:rPr>
        <w:t xml:space="preserve">School of </w:t>
      </w:r>
      <w:r w:rsidR="009429F0" w:rsidRPr="000F0F8B">
        <w:rPr>
          <w:sz w:val="22"/>
          <w:szCs w:val="22"/>
        </w:rPr>
        <w:t>E</w:t>
      </w:r>
      <w:r w:rsidR="003412DE" w:rsidRPr="000F0F8B">
        <w:rPr>
          <w:sz w:val="22"/>
          <w:szCs w:val="22"/>
        </w:rPr>
        <w:t>ducation</w:t>
      </w:r>
      <w:r w:rsidRPr="000F0F8B">
        <w:rPr>
          <w:sz w:val="22"/>
          <w:szCs w:val="22"/>
        </w:rPr>
        <w:t xml:space="preserve"> submits Praxis reports for students who h</w:t>
      </w:r>
      <w:r w:rsidR="003F66AC" w:rsidRPr="000F0F8B">
        <w:rPr>
          <w:sz w:val="22"/>
          <w:szCs w:val="22"/>
        </w:rPr>
        <w:t>ave completed the exam. An average of 85</w:t>
      </w:r>
      <w:r w:rsidRPr="000F0F8B">
        <w:rPr>
          <w:sz w:val="22"/>
          <w:szCs w:val="22"/>
        </w:rPr>
        <w:t xml:space="preserve">% of FMU’s education students who took the Praxis II test in </w:t>
      </w:r>
      <w:r w:rsidR="003F66AC" w:rsidRPr="000F0F8B">
        <w:rPr>
          <w:sz w:val="22"/>
          <w:szCs w:val="22"/>
        </w:rPr>
        <w:t xml:space="preserve">during the 2012-2013 academic </w:t>
      </w:r>
      <w:r w:rsidR="00884F7D" w:rsidRPr="000F0F8B">
        <w:rPr>
          <w:sz w:val="22"/>
          <w:szCs w:val="22"/>
        </w:rPr>
        <w:t>year</w:t>
      </w:r>
      <w:r w:rsidRPr="000F0F8B">
        <w:rPr>
          <w:sz w:val="22"/>
          <w:szCs w:val="22"/>
        </w:rPr>
        <w:t xml:space="preserve"> had a passing grade. </w:t>
      </w:r>
      <w:r w:rsidR="00884F7D" w:rsidRPr="000F0F8B">
        <w:rPr>
          <w:sz w:val="22"/>
          <w:szCs w:val="22"/>
        </w:rPr>
        <w:t>T</w:t>
      </w:r>
      <w:r w:rsidRPr="000F0F8B">
        <w:rPr>
          <w:sz w:val="22"/>
          <w:szCs w:val="22"/>
        </w:rPr>
        <w:t xml:space="preserve">here was a 100% passing rate </w:t>
      </w:r>
      <w:r w:rsidR="00884F7D" w:rsidRPr="000F0F8B">
        <w:rPr>
          <w:sz w:val="22"/>
          <w:szCs w:val="22"/>
        </w:rPr>
        <w:t>on the following sections:</w:t>
      </w:r>
    </w:p>
    <w:p w:rsidR="00884F7D" w:rsidRPr="000F0F8B" w:rsidRDefault="00884F7D">
      <w:pPr>
        <w:rPr>
          <w:sz w:val="22"/>
          <w:szCs w:val="22"/>
        </w:rPr>
      </w:pPr>
    </w:p>
    <w:p w:rsidR="00884F7D" w:rsidRPr="000F0F8B" w:rsidRDefault="00884F7D" w:rsidP="003412DE">
      <w:pPr>
        <w:ind w:left="1080"/>
        <w:rPr>
          <w:sz w:val="22"/>
          <w:szCs w:val="22"/>
        </w:rPr>
      </w:pPr>
      <w:r w:rsidRPr="000F0F8B">
        <w:rPr>
          <w:sz w:val="22"/>
          <w:szCs w:val="22"/>
        </w:rPr>
        <w:t>Art: Content Knowledge</w:t>
      </w:r>
    </w:p>
    <w:p w:rsidR="00884F7D" w:rsidRPr="000F0F8B" w:rsidRDefault="00884F7D" w:rsidP="003412DE">
      <w:pPr>
        <w:ind w:left="1080"/>
        <w:rPr>
          <w:sz w:val="22"/>
          <w:szCs w:val="22"/>
        </w:rPr>
      </w:pPr>
      <w:r w:rsidRPr="000F0F8B">
        <w:rPr>
          <w:sz w:val="22"/>
          <w:szCs w:val="22"/>
        </w:rPr>
        <w:t>Elementary Education: Content Area Exercises</w:t>
      </w:r>
    </w:p>
    <w:p w:rsidR="00884F7D" w:rsidRPr="000F0F8B" w:rsidRDefault="004A4778" w:rsidP="003412DE">
      <w:pPr>
        <w:ind w:left="1080"/>
        <w:rPr>
          <w:sz w:val="22"/>
          <w:szCs w:val="22"/>
        </w:rPr>
      </w:pPr>
      <w:r w:rsidRPr="000F0F8B">
        <w:rPr>
          <w:sz w:val="22"/>
          <w:szCs w:val="22"/>
        </w:rPr>
        <w:t>Eng</w:t>
      </w:r>
      <w:r w:rsidR="00884F7D" w:rsidRPr="000F0F8B">
        <w:rPr>
          <w:sz w:val="22"/>
          <w:szCs w:val="22"/>
        </w:rPr>
        <w:t>lish</w:t>
      </w:r>
      <w:r w:rsidRPr="000F0F8B">
        <w:rPr>
          <w:sz w:val="22"/>
          <w:szCs w:val="22"/>
        </w:rPr>
        <w:t xml:space="preserve"> Language Lit</w:t>
      </w:r>
      <w:r w:rsidR="00884F7D" w:rsidRPr="000F0F8B">
        <w:rPr>
          <w:sz w:val="22"/>
          <w:szCs w:val="22"/>
        </w:rPr>
        <w:t>erary Composition</w:t>
      </w:r>
      <w:r w:rsidRPr="000F0F8B">
        <w:rPr>
          <w:sz w:val="22"/>
          <w:szCs w:val="22"/>
        </w:rPr>
        <w:t xml:space="preserve">: Essays </w:t>
      </w:r>
    </w:p>
    <w:p w:rsidR="00884F7D" w:rsidRPr="000F0F8B" w:rsidRDefault="00884F7D" w:rsidP="003412DE">
      <w:pPr>
        <w:ind w:left="1080"/>
        <w:rPr>
          <w:sz w:val="22"/>
          <w:szCs w:val="22"/>
        </w:rPr>
      </w:pPr>
      <w:r w:rsidRPr="000F0F8B">
        <w:rPr>
          <w:sz w:val="22"/>
          <w:szCs w:val="22"/>
        </w:rPr>
        <w:t xml:space="preserve">Math: Content Knowledge </w:t>
      </w:r>
    </w:p>
    <w:p w:rsidR="004A4778" w:rsidRPr="000F0F8B" w:rsidRDefault="00884F7D" w:rsidP="003412DE">
      <w:pPr>
        <w:ind w:left="1080"/>
        <w:rPr>
          <w:sz w:val="22"/>
          <w:szCs w:val="22"/>
        </w:rPr>
      </w:pPr>
      <w:r w:rsidRPr="000F0F8B">
        <w:rPr>
          <w:sz w:val="22"/>
          <w:szCs w:val="22"/>
        </w:rPr>
        <w:t>Middle School: Language Arts</w:t>
      </w:r>
    </w:p>
    <w:p w:rsidR="00884F7D" w:rsidRPr="000F0F8B" w:rsidRDefault="00884F7D" w:rsidP="003412DE">
      <w:pPr>
        <w:ind w:left="1080"/>
        <w:rPr>
          <w:sz w:val="22"/>
          <w:szCs w:val="22"/>
        </w:rPr>
      </w:pPr>
      <w:r w:rsidRPr="000F0F8B">
        <w:rPr>
          <w:sz w:val="22"/>
          <w:szCs w:val="22"/>
        </w:rPr>
        <w:t>Middle School: Mathematics</w:t>
      </w:r>
    </w:p>
    <w:p w:rsidR="00884F7D" w:rsidRPr="000F0F8B" w:rsidRDefault="00884F7D" w:rsidP="003412DE">
      <w:pPr>
        <w:ind w:left="1080"/>
        <w:rPr>
          <w:sz w:val="22"/>
          <w:szCs w:val="22"/>
        </w:rPr>
      </w:pPr>
      <w:r w:rsidRPr="000F0F8B">
        <w:rPr>
          <w:sz w:val="22"/>
          <w:szCs w:val="22"/>
        </w:rPr>
        <w:t xml:space="preserve">Middle School: </w:t>
      </w:r>
      <w:r w:rsidR="003412DE" w:rsidRPr="000F0F8B">
        <w:rPr>
          <w:sz w:val="22"/>
          <w:szCs w:val="22"/>
        </w:rPr>
        <w:t>Science</w:t>
      </w:r>
    </w:p>
    <w:p w:rsidR="003412DE" w:rsidRPr="000F0F8B" w:rsidRDefault="003412DE" w:rsidP="003412DE">
      <w:pPr>
        <w:ind w:left="1080"/>
        <w:rPr>
          <w:sz w:val="22"/>
          <w:szCs w:val="22"/>
        </w:rPr>
      </w:pPr>
      <w:r w:rsidRPr="000F0F8B">
        <w:rPr>
          <w:sz w:val="22"/>
          <w:szCs w:val="22"/>
        </w:rPr>
        <w:t>Middle School: Social Studies</w:t>
      </w:r>
    </w:p>
    <w:p w:rsidR="003412DE" w:rsidRPr="000F0F8B" w:rsidRDefault="003412DE" w:rsidP="00884F7D">
      <w:pPr>
        <w:rPr>
          <w:sz w:val="22"/>
          <w:szCs w:val="22"/>
        </w:rPr>
      </w:pPr>
    </w:p>
    <w:p w:rsidR="00D76024" w:rsidRDefault="006B25EF" w:rsidP="00267CE4">
      <w:pPr>
        <w:pStyle w:val="ListParagraph"/>
        <w:numPr>
          <w:ilvl w:val="0"/>
          <w:numId w:val="3"/>
        </w:numPr>
        <w:rPr>
          <w:sz w:val="22"/>
          <w:szCs w:val="22"/>
        </w:rPr>
      </w:pPr>
      <w:r>
        <w:rPr>
          <w:sz w:val="22"/>
          <w:szCs w:val="22"/>
        </w:rPr>
        <w:t>From</w:t>
      </w:r>
      <w:r w:rsidR="00267CE4" w:rsidRPr="000F0F8B">
        <w:rPr>
          <w:sz w:val="22"/>
          <w:szCs w:val="22"/>
        </w:rPr>
        <w:t xml:space="preserve"> 2009-2012 the pass rates of graduates from the Francis Marion Nursing Program on the National Council of State Boards of Nursing Licensing Exam (NCLEX) have exceeded the national and state averages (Table 1).  The pass rate for the examination within two attempts </w:t>
      </w:r>
      <w:r w:rsidR="00B90801">
        <w:rPr>
          <w:sz w:val="22"/>
          <w:szCs w:val="22"/>
        </w:rPr>
        <w:t xml:space="preserve">has been </w:t>
      </w:r>
      <w:r w:rsidR="00267CE4" w:rsidRPr="000F0F8B">
        <w:rPr>
          <w:sz w:val="22"/>
          <w:szCs w:val="22"/>
        </w:rPr>
        <w:t>100%.</w:t>
      </w:r>
    </w:p>
    <w:p w:rsidR="00D76024" w:rsidRDefault="00D76024">
      <w:pPr>
        <w:autoSpaceDE/>
        <w:autoSpaceDN/>
        <w:rPr>
          <w:sz w:val="22"/>
          <w:szCs w:val="22"/>
        </w:rPr>
      </w:pPr>
      <w:r>
        <w:rPr>
          <w:sz w:val="22"/>
          <w:szCs w:val="22"/>
        </w:rPr>
        <w:br w:type="page"/>
      </w:r>
    </w:p>
    <w:p w:rsidR="002914CB" w:rsidRPr="000F0F8B" w:rsidRDefault="00A670BE" w:rsidP="002914CB">
      <w:pPr>
        <w:pStyle w:val="ListParagraph"/>
        <w:ind w:left="990" w:hanging="810"/>
        <w:rPr>
          <w:sz w:val="22"/>
          <w:szCs w:val="22"/>
        </w:rPr>
      </w:pPr>
      <w:r>
        <w:rPr>
          <w:sz w:val="22"/>
          <w:szCs w:val="22"/>
        </w:rPr>
        <w:lastRenderedPageBreak/>
        <w:t>Table 3</w:t>
      </w:r>
      <w:r w:rsidR="002914CB" w:rsidRPr="000F0F8B">
        <w:rPr>
          <w:sz w:val="22"/>
          <w:szCs w:val="22"/>
        </w:rPr>
        <w:t>. Annual Pass Rates for Graduates of Registered Nursing Programs on the National Council of State Boards of Nursing Licensing Exam (NCLEX)</w:t>
      </w:r>
    </w:p>
    <w:tbl>
      <w:tblPr>
        <w:tblStyle w:val="TableGrid"/>
        <w:tblpPr w:leftFromText="180" w:rightFromText="180" w:vertAnchor="text" w:horzAnchor="page" w:tblpX="2107" w:tblpY="162"/>
        <w:tblW w:w="8726" w:type="dxa"/>
        <w:tblLook w:val="01E0" w:firstRow="1" w:lastRow="1" w:firstColumn="1" w:lastColumn="1" w:noHBand="0" w:noVBand="0"/>
      </w:tblPr>
      <w:tblGrid>
        <w:gridCol w:w="2006"/>
        <w:gridCol w:w="1680"/>
        <w:gridCol w:w="1680"/>
        <w:gridCol w:w="1680"/>
        <w:gridCol w:w="1680"/>
      </w:tblGrid>
      <w:tr w:rsidR="002914CB" w:rsidRPr="000F0F8B" w:rsidTr="002914CB">
        <w:tc>
          <w:tcPr>
            <w:tcW w:w="2006" w:type="dxa"/>
            <w:shd w:val="clear" w:color="auto" w:fill="E0E0E0"/>
          </w:tcPr>
          <w:p w:rsidR="002914CB" w:rsidRPr="000F0F8B" w:rsidRDefault="002914CB" w:rsidP="002914CB">
            <w:pPr>
              <w:spacing w:before="60" w:after="60"/>
              <w:jc w:val="center"/>
              <w:rPr>
                <w:rFonts w:ascii="Arial" w:hAnsi="Arial" w:cs="Arial"/>
                <w:b/>
                <w:sz w:val="22"/>
                <w:szCs w:val="22"/>
              </w:rPr>
            </w:pPr>
            <w:r w:rsidRPr="000F0F8B">
              <w:rPr>
                <w:rFonts w:ascii="Arial" w:hAnsi="Arial" w:cs="Arial"/>
                <w:b/>
                <w:sz w:val="22"/>
                <w:szCs w:val="22"/>
              </w:rPr>
              <w:t>Average</w:t>
            </w:r>
          </w:p>
        </w:tc>
        <w:tc>
          <w:tcPr>
            <w:tcW w:w="1680" w:type="dxa"/>
            <w:shd w:val="clear" w:color="auto" w:fill="E0E0E0"/>
          </w:tcPr>
          <w:p w:rsidR="002914CB" w:rsidRPr="000F0F8B" w:rsidRDefault="002914CB" w:rsidP="002914CB">
            <w:pPr>
              <w:spacing w:before="60" w:after="60"/>
              <w:jc w:val="center"/>
              <w:rPr>
                <w:rFonts w:ascii="Arial" w:hAnsi="Arial" w:cs="Arial"/>
                <w:b/>
                <w:sz w:val="22"/>
                <w:szCs w:val="22"/>
              </w:rPr>
            </w:pPr>
            <w:r w:rsidRPr="000F0F8B">
              <w:rPr>
                <w:rFonts w:ascii="Arial" w:hAnsi="Arial" w:cs="Arial"/>
                <w:b/>
                <w:sz w:val="22"/>
                <w:szCs w:val="22"/>
              </w:rPr>
              <w:t>2009</w:t>
            </w:r>
          </w:p>
        </w:tc>
        <w:tc>
          <w:tcPr>
            <w:tcW w:w="1680" w:type="dxa"/>
            <w:shd w:val="clear" w:color="auto" w:fill="E0E0E0"/>
          </w:tcPr>
          <w:p w:rsidR="002914CB" w:rsidRPr="000F0F8B" w:rsidRDefault="002914CB" w:rsidP="002914CB">
            <w:pPr>
              <w:spacing w:before="60" w:after="60"/>
              <w:jc w:val="center"/>
              <w:rPr>
                <w:rFonts w:ascii="Arial" w:hAnsi="Arial" w:cs="Arial"/>
                <w:b/>
                <w:sz w:val="22"/>
                <w:szCs w:val="22"/>
              </w:rPr>
            </w:pPr>
            <w:r w:rsidRPr="000F0F8B">
              <w:rPr>
                <w:rFonts w:ascii="Arial" w:hAnsi="Arial" w:cs="Arial"/>
                <w:b/>
                <w:sz w:val="22"/>
                <w:szCs w:val="22"/>
              </w:rPr>
              <w:t>2010</w:t>
            </w:r>
          </w:p>
        </w:tc>
        <w:tc>
          <w:tcPr>
            <w:tcW w:w="1680" w:type="dxa"/>
            <w:shd w:val="clear" w:color="auto" w:fill="E0E0E0"/>
          </w:tcPr>
          <w:p w:rsidR="002914CB" w:rsidRPr="000F0F8B" w:rsidRDefault="002914CB" w:rsidP="002914CB">
            <w:pPr>
              <w:spacing w:before="60" w:after="60"/>
              <w:jc w:val="center"/>
              <w:rPr>
                <w:rFonts w:ascii="Arial" w:hAnsi="Arial" w:cs="Arial"/>
                <w:b/>
                <w:sz w:val="22"/>
                <w:szCs w:val="22"/>
              </w:rPr>
            </w:pPr>
            <w:r w:rsidRPr="000F0F8B">
              <w:rPr>
                <w:rFonts w:ascii="Arial" w:hAnsi="Arial" w:cs="Arial"/>
                <w:b/>
                <w:sz w:val="22"/>
                <w:szCs w:val="22"/>
              </w:rPr>
              <w:t>2011</w:t>
            </w:r>
          </w:p>
        </w:tc>
        <w:tc>
          <w:tcPr>
            <w:tcW w:w="1680" w:type="dxa"/>
            <w:shd w:val="clear" w:color="auto" w:fill="E0E0E0"/>
          </w:tcPr>
          <w:p w:rsidR="002914CB" w:rsidRPr="000F0F8B" w:rsidRDefault="002914CB" w:rsidP="002914CB">
            <w:pPr>
              <w:spacing w:before="60" w:after="60"/>
              <w:jc w:val="center"/>
              <w:rPr>
                <w:rFonts w:ascii="Arial" w:hAnsi="Arial" w:cs="Arial"/>
                <w:b/>
                <w:sz w:val="22"/>
                <w:szCs w:val="22"/>
              </w:rPr>
            </w:pPr>
            <w:r w:rsidRPr="000F0F8B">
              <w:rPr>
                <w:rFonts w:ascii="Arial" w:hAnsi="Arial" w:cs="Arial"/>
                <w:b/>
                <w:sz w:val="22"/>
                <w:szCs w:val="22"/>
              </w:rPr>
              <w:t>2012</w:t>
            </w:r>
          </w:p>
        </w:tc>
      </w:tr>
      <w:tr w:rsidR="002914CB" w:rsidRPr="000F0F8B" w:rsidTr="002914CB">
        <w:tc>
          <w:tcPr>
            <w:tcW w:w="2006" w:type="dxa"/>
          </w:tcPr>
          <w:p w:rsidR="002914CB" w:rsidRPr="000F0F8B" w:rsidRDefault="002914CB" w:rsidP="002914CB">
            <w:pPr>
              <w:spacing w:before="60" w:after="60"/>
              <w:rPr>
                <w:sz w:val="22"/>
                <w:szCs w:val="22"/>
              </w:rPr>
            </w:pPr>
            <w:r w:rsidRPr="000F0F8B">
              <w:rPr>
                <w:sz w:val="22"/>
                <w:szCs w:val="22"/>
              </w:rPr>
              <w:t xml:space="preserve">National </w:t>
            </w:r>
          </w:p>
        </w:tc>
        <w:tc>
          <w:tcPr>
            <w:tcW w:w="1680" w:type="dxa"/>
          </w:tcPr>
          <w:p w:rsidR="002914CB" w:rsidRPr="000F0F8B" w:rsidRDefault="002914CB" w:rsidP="002914CB">
            <w:pPr>
              <w:spacing w:before="60" w:after="60"/>
              <w:jc w:val="center"/>
              <w:rPr>
                <w:sz w:val="22"/>
                <w:szCs w:val="22"/>
              </w:rPr>
            </w:pPr>
            <w:r w:rsidRPr="000F0F8B">
              <w:rPr>
                <w:sz w:val="22"/>
                <w:szCs w:val="22"/>
              </w:rPr>
              <w:t>88.42%</w:t>
            </w:r>
          </w:p>
        </w:tc>
        <w:tc>
          <w:tcPr>
            <w:tcW w:w="1680" w:type="dxa"/>
          </w:tcPr>
          <w:p w:rsidR="002914CB" w:rsidRPr="000F0F8B" w:rsidRDefault="002914CB" w:rsidP="002914CB">
            <w:pPr>
              <w:spacing w:before="60" w:after="60"/>
              <w:jc w:val="center"/>
              <w:rPr>
                <w:sz w:val="22"/>
                <w:szCs w:val="22"/>
              </w:rPr>
            </w:pPr>
            <w:r w:rsidRPr="000F0F8B">
              <w:rPr>
                <w:sz w:val="22"/>
                <w:szCs w:val="22"/>
              </w:rPr>
              <w:t>87.42%</w:t>
            </w:r>
          </w:p>
        </w:tc>
        <w:tc>
          <w:tcPr>
            <w:tcW w:w="1680" w:type="dxa"/>
          </w:tcPr>
          <w:p w:rsidR="002914CB" w:rsidRPr="000F0F8B" w:rsidRDefault="002914CB" w:rsidP="002914CB">
            <w:pPr>
              <w:spacing w:before="60" w:after="60"/>
              <w:jc w:val="center"/>
              <w:rPr>
                <w:sz w:val="22"/>
                <w:szCs w:val="22"/>
              </w:rPr>
            </w:pPr>
            <w:r w:rsidRPr="000F0F8B">
              <w:rPr>
                <w:sz w:val="22"/>
                <w:szCs w:val="22"/>
              </w:rPr>
              <w:t>87.90%</w:t>
            </w:r>
          </w:p>
        </w:tc>
        <w:tc>
          <w:tcPr>
            <w:tcW w:w="1680" w:type="dxa"/>
          </w:tcPr>
          <w:p w:rsidR="002914CB" w:rsidRPr="000F0F8B" w:rsidRDefault="002914CB" w:rsidP="002914CB">
            <w:pPr>
              <w:spacing w:before="60" w:after="60"/>
              <w:jc w:val="center"/>
              <w:rPr>
                <w:sz w:val="22"/>
                <w:szCs w:val="22"/>
              </w:rPr>
            </w:pPr>
            <w:r w:rsidRPr="000F0F8B">
              <w:rPr>
                <w:sz w:val="22"/>
                <w:szCs w:val="22"/>
              </w:rPr>
              <w:t>90.34%</w:t>
            </w:r>
          </w:p>
        </w:tc>
      </w:tr>
      <w:tr w:rsidR="002914CB" w:rsidRPr="000F0F8B" w:rsidTr="002914CB">
        <w:tc>
          <w:tcPr>
            <w:tcW w:w="2006" w:type="dxa"/>
          </w:tcPr>
          <w:p w:rsidR="002914CB" w:rsidRPr="000F0F8B" w:rsidRDefault="002914CB" w:rsidP="002914CB">
            <w:pPr>
              <w:spacing w:before="60" w:after="60"/>
              <w:rPr>
                <w:sz w:val="22"/>
                <w:szCs w:val="22"/>
              </w:rPr>
            </w:pPr>
            <w:r w:rsidRPr="000F0F8B">
              <w:rPr>
                <w:sz w:val="22"/>
                <w:szCs w:val="22"/>
              </w:rPr>
              <w:t>South Carolina</w:t>
            </w:r>
          </w:p>
        </w:tc>
        <w:tc>
          <w:tcPr>
            <w:tcW w:w="1680" w:type="dxa"/>
          </w:tcPr>
          <w:p w:rsidR="002914CB" w:rsidRPr="000F0F8B" w:rsidRDefault="002914CB" w:rsidP="002914CB">
            <w:pPr>
              <w:spacing w:before="60" w:after="60"/>
              <w:jc w:val="center"/>
              <w:rPr>
                <w:sz w:val="22"/>
                <w:szCs w:val="22"/>
              </w:rPr>
            </w:pPr>
            <w:r w:rsidRPr="000F0F8B">
              <w:rPr>
                <w:sz w:val="22"/>
                <w:szCs w:val="22"/>
              </w:rPr>
              <w:t>88.37%</w:t>
            </w:r>
          </w:p>
        </w:tc>
        <w:tc>
          <w:tcPr>
            <w:tcW w:w="1680" w:type="dxa"/>
          </w:tcPr>
          <w:p w:rsidR="002914CB" w:rsidRPr="000F0F8B" w:rsidRDefault="002914CB" w:rsidP="002914CB">
            <w:pPr>
              <w:spacing w:before="60" w:after="60"/>
              <w:jc w:val="center"/>
              <w:rPr>
                <w:sz w:val="22"/>
                <w:szCs w:val="22"/>
              </w:rPr>
            </w:pPr>
            <w:r w:rsidRPr="000F0F8B">
              <w:rPr>
                <w:sz w:val="22"/>
                <w:szCs w:val="22"/>
              </w:rPr>
              <w:t>89.53%</w:t>
            </w:r>
          </w:p>
        </w:tc>
        <w:tc>
          <w:tcPr>
            <w:tcW w:w="1680" w:type="dxa"/>
          </w:tcPr>
          <w:p w:rsidR="002914CB" w:rsidRPr="000F0F8B" w:rsidRDefault="002914CB" w:rsidP="002914CB">
            <w:pPr>
              <w:spacing w:before="60" w:after="60"/>
              <w:jc w:val="center"/>
              <w:rPr>
                <w:sz w:val="22"/>
                <w:szCs w:val="22"/>
              </w:rPr>
            </w:pPr>
            <w:r w:rsidRPr="000F0F8B">
              <w:rPr>
                <w:sz w:val="22"/>
                <w:szCs w:val="22"/>
              </w:rPr>
              <w:t>89.66%</w:t>
            </w:r>
          </w:p>
        </w:tc>
        <w:tc>
          <w:tcPr>
            <w:tcW w:w="1680" w:type="dxa"/>
          </w:tcPr>
          <w:p w:rsidR="002914CB" w:rsidRPr="000F0F8B" w:rsidRDefault="002914CB" w:rsidP="002914CB">
            <w:pPr>
              <w:spacing w:before="60" w:after="60"/>
              <w:jc w:val="center"/>
              <w:rPr>
                <w:sz w:val="22"/>
                <w:szCs w:val="22"/>
              </w:rPr>
            </w:pPr>
            <w:r w:rsidRPr="000F0F8B">
              <w:rPr>
                <w:sz w:val="22"/>
                <w:szCs w:val="22"/>
              </w:rPr>
              <w:t>93.37%</w:t>
            </w:r>
          </w:p>
        </w:tc>
      </w:tr>
      <w:tr w:rsidR="002914CB" w:rsidRPr="000F0F8B" w:rsidTr="002914CB">
        <w:tc>
          <w:tcPr>
            <w:tcW w:w="2006" w:type="dxa"/>
          </w:tcPr>
          <w:p w:rsidR="002914CB" w:rsidRPr="000F0F8B" w:rsidRDefault="002914CB" w:rsidP="002914CB">
            <w:pPr>
              <w:spacing w:before="60" w:after="60"/>
              <w:rPr>
                <w:sz w:val="22"/>
                <w:szCs w:val="22"/>
              </w:rPr>
            </w:pPr>
            <w:r w:rsidRPr="000F0F8B">
              <w:rPr>
                <w:sz w:val="22"/>
                <w:szCs w:val="22"/>
              </w:rPr>
              <w:t>Francis Marion</w:t>
            </w:r>
          </w:p>
        </w:tc>
        <w:tc>
          <w:tcPr>
            <w:tcW w:w="1680" w:type="dxa"/>
          </w:tcPr>
          <w:p w:rsidR="002914CB" w:rsidRPr="000F0F8B" w:rsidRDefault="002914CB" w:rsidP="002914CB">
            <w:pPr>
              <w:spacing w:before="60" w:after="60"/>
              <w:jc w:val="center"/>
              <w:rPr>
                <w:sz w:val="22"/>
                <w:szCs w:val="22"/>
              </w:rPr>
            </w:pPr>
            <w:r w:rsidRPr="000F0F8B">
              <w:rPr>
                <w:sz w:val="22"/>
                <w:szCs w:val="22"/>
              </w:rPr>
              <w:t>94.12%</w:t>
            </w:r>
          </w:p>
        </w:tc>
        <w:tc>
          <w:tcPr>
            <w:tcW w:w="1680" w:type="dxa"/>
          </w:tcPr>
          <w:p w:rsidR="002914CB" w:rsidRPr="000F0F8B" w:rsidRDefault="002914CB" w:rsidP="002914CB">
            <w:pPr>
              <w:spacing w:before="60" w:after="60"/>
              <w:jc w:val="center"/>
              <w:rPr>
                <w:sz w:val="22"/>
                <w:szCs w:val="22"/>
              </w:rPr>
            </w:pPr>
            <w:r w:rsidRPr="000F0F8B">
              <w:rPr>
                <w:sz w:val="22"/>
                <w:szCs w:val="22"/>
              </w:rPr>
              <w:t>90.00%</w:t>
            </w:r>
          </w:p>
        </w:tc>
        <w:tc>
          <w:tcPr>
            <w:tcW w:w="1680" w:type="dxa"/>
          </w:tcPr>
          <w:p w:rsidR="002914CB" w:rsidRPr="000F0F8B" w:rsidRDefault="002914CB" w:rsidP="002914CB">
            <w:pPr>
              <w:spacing w:before="60" w:after="60"/>
              <w:jc w:val="center"/>
              <w:rPr>
                <w:sz w:val="22"/>
                <w:szCs w:val="22"/>
              </w:rPr>
            </w:pPr>
            <w:r w:rsidRPr="000F0F8B">
              <w:rPr>
                <w:sz w:val="22"/>
                <w:szCs w:val="22"/>
              </w:rPr>
              <w:t>93.33%</w:t>
            </w:r>
          </w:p>
        </w:tc>
        <w:tc>
          <w:tcPr>
            <w:tcW w:w="1680" w:type="dxa"/>
          </w:tcPr>
          <w:p w:rsidR="002914CB" w:rsidRPr="000F0F8B" w:rsidRDefault="002914CB" w:rsidP="002914CB">
            <w:pPr>
              <w:spacing w:before="60" w:after="60"/>
              <w:jc w:val="center"/>
              <w:rPr>
                <w:sz w:val="22"/>
                <w:szCs w:val="22"/>
              </w:rPr>
            </w:pPr>
            <w:r w:rsidRPr="000F0F8B">
              <w:rPr>
                <w:sz w:val="22"/>
                <w:szCs w:val="22"/>
              </w:rPr>
              <w:t>97.00%</w:t>
            </w:r>
          </w:p>
        </w:tc>
      </w:tr>
    </w:tbl>
    <w:p w:rsidR="002F5448" w:rsidRPr="004C599B" w:rsidRDefault="002F5448" w:rsidP="004C599B">
      <w:pPr>
        <w:rPr>
          <w:sz w:val="22"/>
          <w:szCs w:val="22"/>
          <w:u w:val="single"/>
        </w:rPr>
      </w:pPr>
    </w:p>
    <w:p w:rsidR="00ED3D33" w:rsidRPr="004C599B" w:rsidRDefault="000B2F85" w:rsidP="00C621E6">
      <w:pPr>
        <w:rPr>
          <w:sz w:val="22"/>
          <w:szCs w:val="22"/>
        </w:rPr>
      </w:pPr>
      <w:r w:rsidRPr="004C599B">
        <w:rPr>
          <w:sz w:val="22"/>
          <w:szCs w:val="22"/>
        </w:rPr>
        <w:t xml:space="preserve">Graduating seniors take a </w:t>
      </w:r>
      <w:r w:rsidRPr="004C599B">
        <w:rPr>
          <w:i/>
          <w:sz w:val="22"/>
          <w:szCs w:val="22"/>
        </w:rPr>
        <w:t>Senior Exit Survey</w:t>
      </w:r>
      <w:r w:rsidR="00047693" w:rsidRPr="004C599B">
        <w:rPr>
          <w:sz w:val="22"/>
          <w:szCs w:val="22"/>
        </w:rPr>
        <w:t xml:space="preserve"> (77.6% response rate) which includes a question concerning post-graduation employment.  Twenty two percent of the students who graduated in December 2013 indicated that they ha</w:t>
      </w:r>
      <w:r w:rsidR="00E2164B">
        <w:rPr>
          <w:sz w:val="22"/>
          <w:szCs w:val="22"/>
        </w:rPr>
        <w:t>d</w:t>
      </w:r>
      <w:r w:rsidR="00047693" w:rsidRPr="004C599B">
        <w:rPr>
          <w:sz w:val="22"/>
          <w:szCs w:val="22"/>
        </w:rPr>
        <w:t xml:space="preserve"> been offered full-time employment.</w:t>
      </w:r>
      <w:r w:rsidR="00EA52E7" w:rsidRPr="004C599B">
        <w:rPr>
          <w:sz w:val="22"/>
          <w:szCs w:val="22"/>
        </w:rPr>
        <w:t xml:space="preserve">  This value is con</w:t>
      </w:r>
      <w:r w:rsidR="00D76024" w:rsidRPr="004C599B">
        <w:rPr>
          <w:sz w:val="22"/>
          <w:szCs w:val="22"/>
        </w:rPr>
        <w:t xml:space="preserve">sistent </w:t>
      </w:r>
      <w:r w:rsidR="004C599B" w:rsidRPr="004C599B">
        <w:rPr>
          <w:sz w:val="22"/>
          <w:szCs w:val="22"/>
        </w:rPr>
        <w:t>with the rates for</w:t>
      </w:r>
      <w:r w:rsidR="00D76024" w:rsidRPr="004C599B">
        <w:rPr>
          <w:sz w:val="22"/>
          <w:szCs w:val="22"/>
        </w:rPr>
        <w:t xml:space="preserve"> previous semesters and data collected by the Career Development Office</w:t>
      </w:r>
      <w:r w:rsidR="00B90801">
        <w:rPr>
          <w:sz w:val="22"/>
          <w:szCs w:val="22"/>
        </w:rPr>
        <w:t>.</w:t>
      </w:r>
    </w:p>
    <w:p w:rsidR="007A3C41" w:rsidRDefault="007A3C41" w:rsidP="00C621E6">
      <w:pPr>
        <w:rPr>
          <w:sz w:val="22"/>
          <w:szCs w:val="22"/>
        </w:rPr>
      </w:pPr>
    </w:p>
    <w:p w:rsidR="00047693" w:rsidRDefault="00047693" w:rsidP="00C621E6">
      <w:pPr>
        <w:rPr>
          <w:sz w:val="22"/>
          <w:szCs w:val="22"/>
        </w:rPr>
      </w:pPr>
      <w:r w:rsidRPr="004C599B">
        <w:rPr>
          <w:sz w:val="22"/>
          <w:szCs w:val="22"/>
        </w:rPr>
        <w:t>The Career Development Office sponsors one career fair each semester.  The high participation rate of companies</w:t>
      </w:r>
      <w:r w:rsidR="00A670BE">
        <w:rPr>
          <w:sz w:val="22"/>
          <w:szCs w:val="22"/>
        </w:rPr>
        <w:t xml:space="preserve"> (see Figure 1) </w:t>
      </w:r>
      <w:r w:rsidRPr="004C599B">
        <w:rPr>
          <w:sz w:val="22"/>
          <w:szCs w:val="22"/>
        </w:rPr>
        <w:t xml:space="preserve"> indicates that the</w:t>
      </w:r>
      <w:r w:rsidR="006B25EF" w:rsidRPr="004C599B">
        <w:rPr>
          <w:sz w:val="22"/>
          <w:szCs w:val="22"/>
        </w:rPr>
        <w:t>se employers</w:t>
      </w:r>
      <w:r w:rsidRPr="004C599B">
        <w:rPr>
          <w:sz w:val="22"/>
          <w:szCs w:val="22"/>
        </w:rPr>
        <w:t xml:space="preserve"> find FM graduates to </w:t>
      </w:r>
      <w:r w:rsidR="006B25EF" w:rsidRPr="004C599B">
        <w:rPr>
          <w:sz w:val="22"/>
          <w:szCs w:val="22"/>
        </w:rPr>
        <w:t xml:space="preserve">be qualified and </w:t>
      </w:r>
      <w:r w:rsidR="00C621E6">
        <w:rPr>
          <w:sz w:val="22"/>
          <w:szCs w:val="22"/>
        </w:rPr>
        <w:t>motivated</w:t>
      </w:r>
      <w:r w:rsidRPr="004C599B">
        <w:rPr>
          <w:sz w:val="22"/>
          <w:szCs w:val="22"/>
        </w:rPr>
        <w:t xml:space="preserve"> employees.</w:t>
      </w:r>
    </w:p>
    <w:p w:rsidR="00A670BE" w:rsidRPr="004C599B" w:rsidRDefault="00A670BE" w:rsidP="00C621E6">
      <w:pPr>
        <w:rPr>
          <w:sz w:val="22"/>
          <w:szCs w:val="22"/>
        </w:rPr>
      </w:pPr>
    </w:p>
    <w:p w:rsidR="00ED3D33" w:rsidRPr="000F0F8B" w:rsidRDefault="00047693" w:rsidP="00D02D79">
      <w:pPr>
        <w:spacing w:before="60" w:after="60"/>
        <w:jc w:val="center"/>
        <w:rPr>
          <w:sz w:val="22"/>
          <w:szCs w:val="22"/>
        </w:rPr>
      </w:pPr>
      <w:r>
        <w:rPr>
          <w:rFonts w:ascii="Arial" w:hAnsi="Arial" w:cs="Arial"/>
          <w:noProof/>
        </w:rPr>
        <w:drawing>
          <wp:inline distT="0" distB="0" distL="0" distR="0" wp14:anchorId="088296EE" wp14:editId="14E4DB6A">
            <wp:extent cx="4830070" cy="2564977"/>
            <wp:effectExtent l="0" t="0" r="27940" b="26035"/>
            <wp:docPr id="16"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D3D33" w:rsidRPr="000F0F8B" w:rsidRDefault="00ED3D33" w:rsidP="00F80F47">
      <w:pPr>
        <w:spacing w:before="60" w:after="60"/>
        <w:jc w:val="center"/>
        <w:rPr>
          <w:sz w:val="22"/>
          <w:szCs w:val="22"/>
        </w:rPr>
      </w:pPr>
    </w:p>
    <w:p w:rsidR="004A4778" w:rsidRPr="000F0F8B" w:rsidRDefault="004A4778">
      <w:pPr>
        <w:rPr>
          <w:rFonts w:ascii="Arial" w:hAnsi="Arial"/>
          <w:b/>
          <w:sz w:val="22"/>
          <w:szCs w:val="22"/>
        </w:rPr>
      </w:pPr>
    </w:p>
    <w:p w:rsidR="00284A2B" w:rsidRPr="000F0F8B" w:rsidRDefault="004A4778">
      <w:pPr>
        <w:rPr>
          <w:sz w:val="22"/>
          <w:szCs w:val="22"/>
        </w:rPr>
        <w:sectPr w:rsidR="00284A2B" w:rsidRPr="000F0F8B" w:rsidSect="008F75F4">
          <w:headerReference w:type="default" r:id="rId10"/>
          <w:footerReference w:type="default" r:id="rId11"/>
          <w:endnotePr>
            <w:numFmt w:val="decimal"/>
            <w:numRestart w:val="eachSect"/>
          </w:endnotePr>
          <w:pgSz w:w="12240" w:h="15840"/>
          <w:pgMar w:top="1440" w:right="1800" w:bottom="1440" w:left="1800" w:header="720" w:footer="720" w:gutter="0"/>
          <w:pgNumType w:start="1"/>
          <w:cols w:space="720"/>
          <w:docGrid w:linePitch="360"/>
        </w:sectPr>
      </w:pPr>
      <w:r w:rsidRPr="000F0F8B">
        <w:rPr>
          <w:sz w:val="22"/>
          <w:szCs w:val="22"/>
        </w:rPr>
        <w:t xml:space="preserve">The supporting documents </w:t>
      </w:r>
      <w:r w:rsidR="00C43810">
        <w:rPr>
          <w:sz w:val="22"/>
          <w:szCs w:val="22"/>
        </w:rPr>
        <w:t>which</w:t>
      </w:r>
      <w:r w:rsidRPr="000F0F8B">
        <w:rPr>
          <w:sz w:val="22"/>
          <w:szCs w:val="22"/>
        </w:rPr>
        <w:t xml:space="preserve"> verify this compliance judgment include: </w:t>
      </w:r>
    </w:p>
    <w:p w:rsidR="004A4778" w:rsidRPr="000F0F8B" w:rsidRDefault="004A4778" w:rsidP="006A04B4">
      <w:pPr>
        <w:rPr>
          <w:b/>
          <w:sz w:val="22"/>
          <w:szCs w:val="22"/>
        </w:rPr>
      </w:pPr>
    </w:p>
    <w:sectPr w:rsidR="004A4778" w:rsidRPr="000F0F8B" w:rsidSect="00284A2B">
      <w:endnotePr>
        <w:numFmt w:val="decimal"/>
        <w:numRestart w:val="eachSect"/>
      </w:endnotePr>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499" w:rsidRDefault="00CB4499">
      <w:pPr>
        <w:pStyle w:val="Footer"/>
      </w:pPr>
    </w:p>
  </w:endnote>
  <w:endnote w:type="continuationSeparator" w:id="0">
    <w:p w:rsidR="00CB4499" w:rsidRDefault="00CB4499">
      <w:pPr>
        <w:pStyle w:val="Footer"/>
      </w:pPr>
    </w:p>
  </w:endnote>
  <w:endnote w:id="1">
    <w:p w:rsidR="00805ADD" w:rsidRDefault="002105CB" w:rsidP="006F5CCD">
      <w:pPr>
        <w:pStyle w:val="EndnoteText"/>
        <w:ind w:left="158" w:hanging="158"/>
        <w:rPr>
          <w:iCs/>
          <w:sz w:val="24"/>
          <w:szCs w:val="24"/>
        </w:rPr>
      </w:pPr>
      <w:r>
        <w:rPr>
          <w:rStyle w:val="EndnoteReference"/>
          <w:sz w:val="24"/>
          <w:szCs w:val="24"/>
        </w:rPr>
        <w:endnoteRef/>
      </w:r>
      <w:r>
        <w:rPr>
          <w:sz w:val="24"/>
          <w:szCs w:val="24"/>
        </w:rPr>
        <w:t xml:space="preserve"> </w:t>
      </w:r>
      <w:r w:rsidR="00D830BC" w:rsidRPr="008869FC">
        <w:rPr>
          <w:i/>
          <w:iCs/>
          <w:sz w:val="24"/>
          <w:szCs w:val="24"/>
        </w:rPr>
        <w:t>20</w:t>
      </w:r>
      <w:r w:rsidR="00D830BC">
        <w:rPr>
          <w:i/>
          <w:iCs/>
          <w:sz w:val="24"/>
          <w:szCs w:val="24"/>
        </w:rPr>
        <w:t xml:space="preserve">13-2014 </w:t>
      </w:r>
      <w:r>
        <w:rPr>
          <w:i/>
          <w:sz w:val="24"/>
          <w:szCs w:val="24"/>
        </w:rPr>
        <w:t>Francis Marion University Catalog</w:t>
      </w:r>
      <w:r w:rsidR="00D830BC">
        <w:rPr>
          <w:sz w:val="24"/>
          <w:szCs w:val="24"/>
        </w:rPr>
        <w:t>, p.71</w:t>
      </w:r>
      <w:r>
        <w:rPr>
          <w:iCs/>
          <w:sz w:val="24"/>
          <w:szCs w:val="24"/>
        </w:rPr>
        <w:t>.  Florence, SC:  Francis Marion University, 20</w:t>
      </w:r>
      <w:r w:rsidR="00157D9A">
        <w:rPr>
          <w:iCs/>
          <w:sz w:val="24"/>
          <w:szCs w:val="24"/>
        </w:rPr>
        <w:t>13-2014</w:t>
      </w:r>
      <w:r>
        <w:rPr>
          <w:iCs/>
          <w:sz w:val="24"/>
          <w:szCs w:val="24"/>
        </w:rPr>
        <w:t xml:space="preserve">.  </w:t>
      </w:r>
    </w:p>
    <w:p w:rsidR="00746402" w:rsidRDefault="00746402" w:rsidP="00746402">
      <w:pPr>
        <w:pStyle w:val="EndnoteText"/>
        <w:tabs>
          <w:tab w:val="left" w:pos="990"/>
        </w:tabs>
        <w:ind w:left="158" w:hanging="158"/>
        <w:rPr>
          <w:iCs/>
          <w:sz w:val="24"/>
          <w:szCs w:val="24"/>
        </w:rPr>
      </w:pPr>
      <w:r>
        <w:rPr>
          <w:iCs/>
          <w:sz w:val="24"/>
          <w:szCs w:val="24"/>
        </w:rPr>
        <w:tab/>
      </w:r>
      <w:r>
        <w:rPr>
          <w:iCs/>
          <w:sz w:val="24"/>
          <w:szCs w:val="24"/>
        </w:rPr>
        <w:tab/>
      </w:r>
    </w:p>
    <w:p w:rsidR="006F5CCD" w:rsidRDefault="00746402" w:rsidP="00D830BC">
      <w:pPr>
        <w:pStyle w:val="EndnoteText"/>
        <w:tabs>
          <w:tab w:val="left" w:pos="990"/>
        </w:tabs>
        <w:ind w:left="158" w:hanging="158"/>
        <w:rPr>
          <w:iCs/>
          <w:sz w:val="24"/>
          <w:szCs w:val="24"/>
        </w:rPr>
      </w:pPr>
      <w:r>
        <w:rPr>
          <w:iCs/>
          <w:sz w:val="24"/>
          <w:szCs w:val="24"/>
        </w:rPr>
        <w:tab/>
      </w:r>
      <w:hyperlink r:id="rId1" w:history="1">
        <w:r w:rsidR="006F5CCD" w:rsidRPr="009B7608">
          <w:rPr>
            <w:rStyle w:val="Hyperlink"/>
            <w:iCs/>
            <w:sz w:val="24"/>
            <w:szCs w:val="24"/>
          </w:rPr>
          <w:t>http://www.fmarion.edu</w:t>
        </w:r>
      </w:hyperlink>
    </w:p>
    <w:p w:rsidR="00EA52E7" w:rsidRDefault="00EA52E7" w:rsidP="006F5CCD">
      <w:pPr>
        <w:pStyle w:val="EndnoteText"/>
        <w:ind w:left="720"/>
        <w:rPr>
          <w:iCs/>
          <w:sz w:val="24"/>
          <w:szCs w:val="24"/>
        </w:rPr>
      </w:pPr>
    </w:p>
    <w:p w:rsidR="006F5CCD" w:rsidRDefault="006F5CCD" w:rsidP="006F5CCD">
      <w:pPr>
        <w:pStyle w:val="EndnoteText"/>
        <w:ind w:left="720"/>
        <w:rPr>
          <w:iCs/>
          <w:sz w:val="24"/>
          <w:szCs w:val="24"/>
        </w:rPr>
      </w:pPr>
      <w:r>
        <w:rPr>
          <w:iCs/>
          <w:sz w:val="24"/>
          <w:szCs w:val="24"/>
        </w:rPr>
        <w:t>Click on:</w:t>
      </w:r>
    </w:p>
    <w:p w:rsidR="006F5CCD" w:rsidRDefault="006F5CCD" w:rsidP="006F5CCD">
      <w:pPr>
        <w:pStyle w:val="EndnoteText"/>
        <w:numPr>
          <w:ilvl w:val="0"/>
          <w:numId w:val="5"/>
        </w:numPr>
        <w:rPr>
          <w:iCs/>
          <w:sz w:val="24"/>
          <w:szCs w:val="24"/>
        </w:rPr>
      </w:pPr>
      <w:r>
        <w:rPr>
          <w:iCs/>
          <w:sz w:val="24"/>
          <w:szCs w:val="24"/>
        </w:rPr>
        <w:t xml:space="preserve">Quick Links </w:t>
      </w:r>
    </w:p>
    <w:p w:rsidR="006F5CCD" w:rsidRDefault="006F5CCD" w:rsidP="006F5CCD">
      <w:pPr>
        <w:pStyle w:val="EndnoteText"/>
        <w:numPr>
          <w:ilvl w:val="0"/>
          <w:numId w:val="5"/>
        </w:numPr>
        <w:rPr>
          <w:iCs/>
          <w:sz w:val="24"/>
          <w:szCs w:val="24"/>
        </w:rPr>
      </w:pPr>
      <w:r>
        <w:rPr>
          <w:iCs/>
          <w:sz w:val="24"/>
          <w:szCs w:val="24"/>
        </w:rPr>
        <w:t>Catalog</w:t>
      </w:r>
    </w:p>
    <w:p w:rsidR="006F5CCD" w:rsidRDefault="006F5CCD" w:rsidP="006F5CCD">
      <w:pPr>
        <w:pStyle w:val="EndnoteText"/>
        <w:numPr>
          <w:ilvl w:val="0"/>
          <w:numId w:val="5"/>
        </w:numPr>
        <w:rPr>
          <w:iCs/>
          <w:sz w:val="24"/>
          <w:szCs w:val="24"/>
        </w:rPr>
      </w:pPr>
      <w:r w:rsidRPr="006A04B4">
        <w:rPr>
          <w:iCs/>
          <w:sz w:val="24"/>
          <w:szCs w:val="24"/>
        </w:rPr>
        <w:t>Catalog Cover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uturaHv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760162"/>
      <w:docPartObj>
        <w:docPartGallery w:val="Page Numbers (Bottom of Page)"/>
        <w:docPartUnique/>
      </w:docPartObj>
    </w:sdtPr>
    <w:sdtEndPr>
      <w:rPr>
        <w:noProof/>
      </w:rPr>
    </w:sdtEndPr>
    <w:sdtContent>
      <w:p w:rsidR="008F75F4" w:rsidRDefault="008F75F4">
        <w:pPr>
          <w:pStyle w:val="Footer"/>
          <w:jc w:val="right"/>
        </w:pPr>
        <w:r>
          <w:fldChar w:fldCharType="begin"/>
        </w:r>
        <w:r>
          <w:instrText xml:space="preserve"> PAGE   \* MERGEFORMAT </w:instrText>
        </w:r>
        <w:r>
          <w:fldChar w:fldCharType="separate"/>
        </w:r>
        <w:r w:rsidR="00E7545F">
          <w:rPr>
            <w:noProof/>
          </w:rPr>
          <w:t>2</w:t>
        </w:r>
        <w:r>
          <w:rPr>
            <w:noProof/>
          </w:rPr>
          <w:fldChar w:fldCharType="end"/>
        </w:r>
      </w:p>
    </w:sdtContent>
  </w:sdt>
  <w:p w:rsidR="002105CB" w:rsidRDefault="002105C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499" w:rsidRDefault="00CB4499">
      <w:r>
        <w:separator/>
      </w:r>
    </w:p>
  </w:footnote>
  <w:footnote w:type="continuationSeparator" w:id="0">
    <w:p w:rsidR="00CB4499" w:rsidRDefault="00CB4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CB" w:rsidRDefault="002105CB">
    <w:pPr>
      <w:pStyle w:val="Header"/>
      <w:jc w:val="right"/>
      <w:rPr>
        <w:sz w:val="20"/>
        <w:szCs w:val="20"/>
      </w:rPr>
    </w:pPr>
    <w:r>
      <w:rPr>
        <w:sz w:val="20"/>
        <w:szCs w:val="20"/>
      </w:rPr>
      <w:t>Federal Requirement 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3730"/>
    <w:multiLevelType w:val="hybridMultilevel"/>
    <w:tmpl w:val="B224A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162B35"/>
    <w:multiLevelType w:val="hybridMultilevel"/>
    <w:tmpl w:val="BBD8D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D45C15"/>
    <w:multiLevelType w:val="multilevel"/>
    <w:tmpl w:val="06B6DEF8"/>
    <w:lvl w:ilvl="0">
      <w:start w:val="1"/>
      <w:numFmt w:val="bullet"/>
      <w:lvlText w:val=""/>
      <w:lvlJc w:val="left"/>
      <w:pPr>
        <w:tabs>
          <w:tab w:val="num" w:pos="2880"/>
        </w:tabs>
        <w:ind w:left="2880" w:hanging="360"/>
      </w:pPr>
      <w:rPr>
        <w:rFonts w:ascii="Symbol" w:hAnsi="Symbol" w:cs="Symbol" w:hint="default"/>
        <w:color w:val="0000FF"/>
        <w:sz w:val="20"/>
        <w:szCs w:val="20"/>
      </w:rPr>
    </w:lvl>
    <w:lvl w:ilvl="1">
      <w:start w:val="1"/>
      <w:numFmt w:val="bullet"/>
      <w:lvlText w:val="o"/>
      <w:lvlJc w:val="left"/>
      <w:pPr>
        <w:tabs>
          <w:tab w:val="num" w:pos="3960"/>
        </w:tabs>
        <w:ind w:left="3960" w:hanging="360"/>
      </w:pPr>
      <w:rPr>
        <w:rFonts w:ascii="Courier New" w:hAnsi="Courier New" w:cs="Courier New" w:hint="default"/>
      </w:rPr>
    </w:lvl>
    <w:lvl w:ilvl="2">
      <w:start w:val="1"/>
      <w:numFmt w:val="bullet"/>
      <w:lvlText w:val=""/>
      <w:lvlJc w:val="left"/>
      <w:pPr>
        <w:tabs>
          <w:tab w:val="num" w:pos="4680"/>
        </w:tabs>
        <w:ind w:left="4680" w:hanging="360"/>
      </w:pPr>
      <w:rPr>
        <w:rFonts w:ascii="Wingdings" w:hAnsi="Wingdings" w:cs="Wingdings" w:hint="default"/>
      </w:rPr>
    </w:lvl>
    <w:lvl w:ilvl="3">
      <w:start w:val="1"/>
      <w:numFmt w:val="bullet"/>
      <w:lvlText w:val=""/>
      <w:lvlJc w:val="left"/>
      <w:pPr>
        <w:tabs>
          <w:tab w:val="num" w:pos="5400"/>
        </w:tabs>
        <w:ind w:left="5400" w:hanging="360"/>
      </w:pPr>
      <w:rPr>
        <w:rFonts w:ascii="Symbol" w:hAnsi="Symbol" w:cs="Symbol" w:hint="default"/>
      </w:rPr>
    </w:lvl>
    <w:lvl w:ilvl="4">
      <w:start w:val="1"/>
      <w:numFmt w:val="bullet"/>
      <w:lvlText w:val="o"/>
      <w:lvlJc w:val="left"/>
      <w:pPr>
        <w:tabs>
          <w:tab w:val="num" w:pos="6120"/>
        </w:tabs>
        <w:ind w:left="6120" w:hanging="360"/>
      </w:pPr>
      <w:rPr>
        <w:rFonts w:ascii="Courier New" w:hAnsi="Courier New" w:cs="Courier New" w:hint="default"/>
      </w:rPr>
    </w:lvl>
    <w:lvl w:ilvl="5">
      <w:start w:val="1"/>
      <w:numFmt w:val="bullet"/>
      <w:lvlText w:val=""/>
      <w:lvlJc w:val="left"/>
      <w:pPr>
        <w:tabs>
          <w:tab w:val="num" w:pos="6840"/>
        </w:tabs>
        <w:ind w:left="6840" w:hanging="360"/>
      </w:pPr>
      <w:rPr>
        <w:rFonts w:ascii="Wingdings" w:hAnsi="Wingdings" w:cs="Wingdings" w:hint="default"/>
      </w:rPr>
    </w:lvl>
    <w:lvl w:ilvl="6">
      <w:start w:val="1"/>
      <w:numFmt w:val="bullet"/>
      <w:lvlText w:val=""/>
      <w:lvlJc w:val="left"/>
      <w:pPr>
        <w:tabs>
          <w:tab w:val="num" w:pos="7560"/>
        </w:tabs>
        <w:ind w:left="7560" w:hanging="360"/>
      </w:pPr>
      <w:rPr>
        <w:rFonts w:ascii="Symbol" w:hAnsi="Symbol" w:cs="Symbol" w:hint="default"/>
      </w:rPr>
    </w:lvl>
    <w:lvl w:ilvl="7">
      <w:start w:val="1"/>
      <w:numFmt w:val="bullet"/>
      <w:lvlText w:val="o"/>
      <w:lvlJc w:val="left"/>
      <w:pPr>
        <w:tabs>
          <w:tab w:val="num" w:pos="8280"/>
        </w:tabs>
        <w:ind w:left="8280" w:hanging="360"/>
      </w:pPr>
      <w:rPr>
        <w:rFonts w:ascii="Courier New" w:hAnsi="Courier New" w:cs="Courier New" w:hint="default"/>
      </w:rPr>
    </w:lvl>
    <w:lvl w:ilvl="8">
      <w:start w:val="1"/>
      <w:numFmt w:val="bullet"/>
      <w:lvlText w:val=""/>
      <w:lvlJc w:val="left"/>
      <w:pPr>
        <w:tabs>
          <w:tab w:val="num" w:pos="9000"/>
        </w:tabs>
        <w:ind w:left="9000" w:hanging="360"/>
      </w:pPr>
      <w:rPr>
        <w:rFonts w:ascii="Wingdings" w:hAnsi="Wingdings" w:cs="Wingdings" w:hint="default"/>
      </w:rPr>
    </w:lvl>
  </w:abstractNum>
  <w:abstractNum w:abstractNumId="3">
    <w:nsid w:val="2FA624FD"/>
    <w:multiLevelType w:val="hybridMultilevel"/>
    <w:tmpl w:val="80A816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A14A9D"/>
    <w:multiLevelType w:val="hybridMultilevel"/>
    <w:tmpl w:val="FC32A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pos w:val="sectEnd"/>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38E"/>
    <w:rsid w:val="0000243C"/>
    <w:rsid w:val="000066D5"/>
    <w:rsid w:val="00013848"/>
    <w:rsid w:val="00047693"/>
    <w:rsid w:val="000B2F85"/>
    <w:rsid w:val="000C3748"/>
    <w:rsid w:val="000F0F8B"/>
    <w:rsid w:val="00156510"/>
    <w:rsid w:val="00157D9A"/>
    <w:rsid w:val="001B6B8C"/>
    <w:rsid w:val="001B7E48"/>
    <w:rsid w:val="002105CB"/>
    <w:rsid w:val="00227009"/>
    <w:rsid w:val="00257884"/>
    <w:rsid w:val="00267CE4"/>
    <w:rsid w:val="00284A2B"/>
    <w:rsid w:val="002914CB"/>
    <w:rsid w:val="002A3BE5"/>
    <w:rsid w:val="002E3E85"/>
    <w:rsid w:val="002F5448"/>
    <w:rsid w:val="003412DE"/>
    <w:rsid w:val="00342763"/>
    <w:rsid w:val="00360EE0"/>
    <w:rsid w:val="003C430D"/>
    <w:rsid w:val="003E074D"/>
    <w:rsid w:val="003E4C0B"/>
    <w:rsid w:val="003F66AC"/>
    <w:rsid w:val="004165A7"/>
    <w:rsid w:val="0043307A"/>
    <w:rsid w:val="00442AFE"/>
    <w:rsid w:val="00486706"/>
    <w:rsid w:val="004A4778"/>
    <w:rsid w:val="004C48BA"/>
    <w:rsid w:val="004C599B"/>
    <w:rsid w:val="005457E8"/>
    <w:rsid w:val="005761F4"/>
    <w:rsid w:val="00610760"/>
    <w:rsid w:val="00633CE4"/>
    <w:rsid w:val="00635E23"/>
    <w:rsid w:val="006A04B4"/>
    <w:rsid w:val="006B25EF"/>
    <w:rsid w:val="006E4DC2"/>
    <w:rsid w:val="006F5CCD"/>
    <w:rsid w:val="007242B8"/>
    <w:rsid w:val="00746402"/>
    <w:rsid w:val="007A3C41"/>
    <w:rsid w:val="007A7A19"/>
    <w:rsid w:val="00805ADD"/>
    <w:rsid w:val="00840578"/>
    <w:rsid w:val="00844080"/>
    <w:rsid w:val="00884F7D"/>
    <w:rsid w:val="008869FC"/>
    <w:rsid w:val="008A739F"/>
    <w:rsid w:val="008F75F4"/>
    <w:rsid w:val="00907185"/>
    <w:rsid w:val="009429F0"/>
    <w:rsid w:val="00952727"/>
    <w:rsid w:val="00966589"/>
    <w:rsid w:val="00975370"/>
    <w:rsid w:val="009F5CDC"/>
    <w:rsid w:val="00A670BE"/>
    <w:rsid w:val="00AB6F1C"/>
    <w:rsid w:val="00AE1600"/>
    <w:rsid w:val="00B20EEC"/>
    <w:rsid w:val="00B26244"/>
    <w:rsid w:val="00B90801"/>
    <w:rsid w:val="00BC1590"/>
    <w:rsid w:val="00C43810"/>
    <w:rsid w:val="00C5327D"/>
    <w:rsid w:val="00C621E6"/>
    <w:rsid w:val="00C85040"/>
    <w:rsid w:val="00CB4499"/>
    <w:rsid w:val="00CF46A7"/>
    <w:rsid w:val="00D02D79"/>
    <w:rsid w:val="00D76024"/>
    <w:rsid w:val="00D77C48"/>
    <w:rsid w:val="00D830BC"/>
    <w:rsid w:val="00D9692B"/>
    <w:rsid w:val="00D97C16"/>
    <w:rsid w:val="00DD7151"/>
    <w:rsid w:val="00E20734"/>
    <w:rsid w:val="00E2164B"/>
    <w:rsid w:val="00E35A98"/>
    <w:rsid w:val="00E7545F"/>
    <w:rsid w:val="00E94202"/>
    <w:rsid w:val="00EA52E7"/>
    <w:rsid w:val="00ED3D33"/>
    <w:rsid w:val="00EE5E6B"/>
    <w:rsid w:val="00F0297C"/>
    <w:rsid w:val="00F079FF"/>
    <w:rsid w:val="00F17500"/>
    <w:rsid w:val="00F72D30"/>
    <w:rsid w:val="00F80F47"/>
    <w:rsid w:val="00FA0F7C"/>
    <w:rsid w:val="00FC72BC"/>
    <w:rsid w:val="00FF2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Strong">
    <w:name w:val="Strong"/>
    <w:basedOn w:val="DefaultParagraphFont"/>
    <w:qFormat/>
    <w:rPr>
      <w:b/>
      <w:bCs/>
    </w:rPr>
  </w:style>
  <w:style w:type="paragraph" w:styleId="BodyTextIndent">
    <w:name w:val="Body Text Indent"/>
    <w:basedOn w:val="Normal"/>
    <w:pPr>
      <w:ind w:left="720"/>
    </w:pPr>
    <w:rPr>
      <w:rFonts w:ascii="Arial" w:hAnsi="Arial"/>
      <w:b/>
    </w:rPr>
  </w:style>
  <w:style w:type="paragraph" w:styleId="BodyText">
    <w:name w:val="Body Text"/>
    <w:basedOn w:val="Normal"/>
    <w:rPr>
      <w:rFonts w:ascii="Arial" w:hAnsi="Arial"/>
      <w:b/>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styleId="FollowedHyperlink">
    <w:name w:val="FollowedHyperlink"/>
    <w:basedOn w:val="DefaultParagraphFont"/>
    <w:rPr>
      <w:color w:val="800080"/>
      <w:u w:val="single"/>
    </w:rPr>
  </w:style>
  <w:style w:type="character" w:styleId="PageNumber">
    <w:name w:val="page number"/>
    <w:basedOn w:val="DefaultParagraphFont"/>
  </w:style>
  <w:style w:type="paragraph" w:customStyle="1" w:styleId="Default">
    <w:name w:val="Default"/>
    <w:pPr>
      <w:widowControl w:val="0"/>
      <w:autoSpaceDE w:val="0"/>
      <w:autoSpaceDN w:val="0"/>
      <w:adjustRightInd w:val="0"/>
    </w:pPr>
    <w:rPr>
      <w:rFonts w:ascii="Tahoma" w:hAnsi="Tahoma" w:cs="Tahoma"/>
      <w:color w:val="000000"/>
      <w:sz w:val="24"/>
      <w:szCs w:val="24"/>
    </w:rPr>
  </w:style>
  <w:style w:type="table" w:styleId="TableGrid">
    <w:name w:val="Table Grid"/>
    <w:basedOn w:val="TableNormal"/>
    <w:rsid w:val="00DD71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12DE"/>
    <w:pPr>
      <w:ind w:left="720"/>
      <w:contextualSpacing/>
    </w:pPr>
  </w:style>
  <w:style w:type="paragraph" w:styleId="BalloonText">
    <w:name w:val="Balloon Text"/>
    <w:basedOn w:val="Normal"/>
    <w:link w:val="BalloonTextChar"/>
    <w:rsid w:val="00F80F47"/>
    <w:rPr>
      <w:rFonts w:ascii="Tahoma" w:hAnsi="Tahoma" w:cs="Tahoma"/>
      <w:sz w:val="16"/>
      <w:szCs w:val="16"/>
    </w:rPr>
  </w:style>
  <w:style w:type="character" w:customStyle="1" w:styleId="BalloonTextChar">
    <w:name w:val="Balloon Text Char"/>
    <w:basedOn w:val="DefaultParagraphFont"/>
    <w:link w:val="BalloonText"/>
    <w:rsid w:val="00F80F47"/>
    <w:rPr>
      <w:rFonts w:ascii="Tahoma" w:hAnsi="Tahoma" w:cs="Tahoma"/>
      <w:sz w:val="16"/>
      <w:szCs w:val="16"/>
    </w:rPr>
  </w:style>
  <w:style w:type="table" w:customStyle="1" w:styleId="TableGrid1">
    <w:name w:val="Table Grid1"/>
    <w:basedOn w:val="TableNormal"/>
    <w:next w:val="TableGrid"/>
    <w:uiPriority w:val="59"/>
    <w:rsid w:val="004C48B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C48B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C4381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Strong">
    <w:name w:val="Strong"/>
    <w:basedOn w:val="DefaultParagraphFont"/>
    <w:qFormat/>
    <w:rPr>
      <w:b/>
      <w:bCs/>
    </w:rPr>
  </w:style>
  <w:style w:type="paragraph" w:styleId="BodyTextIndent">
    <w:name w:val="Body Text Indent"/>
    <w:basedOn w:val="Normal"/>
    <w:pPr>
      <w:ind w:left="720"/>
    </w:pPr>
    <w:rPr>
      <w:rFonts w:ascii="Arial" w:hAnsi="Arial"/>
      <w:b/>
    </w:rPr>
  </w:style>
  <w:style w:type="paragraph" w:styleId="BodyText">
    <w:name w:val="Body Text"/>
    <w:basedOn w:val="Normal"/>
    <w:rPr>
      <w:rFonts w:ascii="Arial" w:hAnsi="Arial"/>
      <w:b/>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styleId="FollowedHyperlink">
    <w:name w:val="FollowedHyperlink"/>
    <w:basedOn w:val="DefaultParagraphFont"/>
    <w:rPr>
      <w:color w:val="800080"/>
      <w:u w:val="single"/>
    </w:rPr>
  </w:style>
  <w:style w:type="character" w:styleId="PageNumber">
    <w:name w:val="page number"/>
    <w:basedOn w:val="DefaultParagraphFont"/>
  </w:style>
  <w:style w:type="paragraph" w:customStyle="1" w:styleId="Default">
    <w:name w:val="Default"/>
    <w:pPr>
      <w:widowControl w:val="0"/>
      <w:autoSpaceDE w:val="0"/>
      <w:autoSpaceDN w:val="0"/>
      <w:adjustRightInd w:val="0"/>
    </w:pPr>
    <w:rPr>
      <w:rFonts w:ascii="Tahoma" w:hAnsi="Tahoma" w:cs="Tahoma"/>
      <w:color w:val="000000"/>
      <w:sz w:val="24"/>
      <w:szCs w:val="24"/>
    </w:rPr>
  </w:style>
  <w:style w:type="table" w:styleId="TableGrid">
    <w:name w:val="Table Grid"/>
    <w:basedOn w:val="TableNormal"/>
    <w:rsid w:val="00DD71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12DE"/>
    <w:pPr>
      <w:ind w:left="720"/>
      <w:contextualSpacing/>
    </w:pPr>
  </w:style>
  <w:style w:type="paragraph" w:styleId="BalloonText">
    <w:name w:val="Balloon Text"/>
    <w:basedOn w:val="Normal"/>
    <w:link w:val="BalloonTextChar"/>
    <w:rsid w:val="00F80F47"/>
    <w:rPr>
      <w:rFonts w:ascii="Tahoma" w:hAnsi="Tahoma" w:cs="Tahoma"/>
      <w:sz w:val="16"/>
      <w:szCs w:val="16"/>
    </w:rPr>
  </w:style>
  <w:style w:type="character" w:customStyle="1" w:styleId="BalloonTextChar">
    <w:name w:val="Balloon Text Char"/>
    <w:basedOn w:val="DefaultParagraphFont"/>
    <w:link w:val="BalloonText"/>
    <w:rsid w:val="00F80F47"/>
    <w:rPr>
      <w:rFonts w:ascii="Tahoma" w:hAnsi="Tahoma" w:cs="Tahoma"/>
      <w:sz w:val="16"/>
      <w:szCs w:val="16"/>
    </w:rPr>
  </w:style>
  <w:style w:type="table" w:customStyle="1" w:styleId="TableGrid1">
    <w:name w:val="Table Grid1"/>
    <w:basedOn w:val="TableNormal"/>
    <w:next w:val="TableGrid"/>
    <w:uiPriority w:val="59"/>
    <w:rsid w:val="004C48B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C48B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C438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s>
</file>

<file path=word/_rels/endnotes.xml.rels><?xml version="1.0" encoding="UTF-8" standalone="yes"?>
<Relationships xmlns="http://schemas.openxmlformats.org/package/2006/relationships"><Relationship Id="rId1" Type="http://schemas.openxmlformats.org/officeDocument/2006/relationships/hyperlink" Target="http://www.fmarion.ed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0"/>
            </a:pPr>
            <a:r>
              <a:rPr lang="en-US" sz="1200" b="0"/>
              <a:t>Figure 1</a:t>
            </a:r>
          </a:p>
          <a:p>
            <a:pPr>
              <a:defRPr b="0"/>
            </a:pPr>
            <a:r>
              <a:rPr lang="en-US" sz="1200" b="0"/>
              <a:t>Number of Employers Participating</a:t>
            </a:r>
            <a:r>
              <a:rPr lang="en-US" sz="1200" b="0" baseline="0"/>
              <a:t> </a:t>
            </a:r>
            <a:r>
              <a:rPr lang="en-US" sz="1200" b="0"/>
              <a:t>in</a:t>
            </a:r>
            <a:r>
              <a:rPr lang="en-US" sz="1200" b="0" baseline="0"/>
              <a:t> Career Fairs</a:t>
            </a:r>
            <a:endParaRPr lang="en-US" sz="1200" b="0"/>
          </a:p>
        </c:rich>
      </c:tx>
      <c:layout/>
      <c:overlay val="0"/>
    </c:title>
    <c:autoTitleDeleted val="0"/>
    <c:plotArea>
      <c:layout/>
      <c:barChart>
        <c:barDir val="bar"/>
        <c:grouping val="clustered"/>
        <c:varyColors val="0"/>
        <c:ser>
          <c:idx val="0"/>
          <c:order val="0"/>
          <c:tx>
            <c:strRef>
              <c:f>Sheet1!$B$1</c:f>
              <c:strCache>
                <c:ptCount val="1"/>
                <c:pt idx="0">
                  <c:v>Totals</c:v>
                </c:pt>
              </c:strCache>
            </c:strRef>
          </c:tx>
          <c:invertIfNegative val="0"/>
          <c:cat>
            <c:strRef>
              <c:f>Sheet1!$A$2:$A$7</c:f>
              <c:strCache>
                <c:ptCount val="6"/>
                <c:pt idx="0">
                  <c:v>Fall 2009</c:v>
                </c:pt>
                <c:pt idx="1">
                  <c:v>Spring 2010</c:v>
                </c:pt>
                <c:pt idx="2">
                  <c:v>Fall 2010</c:v>
                </c:pt>
                <c:pt idx="3">
                  <c:v>Spring 2011</c:v>
                </c:pt>
                <c:pt idx="4">
                  <c:v>Fall 2011</c:v>
                </c:pt>
                <c:pt idx="5">
                  <c:v>Spring 2012</c:v>
                </c:pt>
              </c:strCache>
            </c:strRef>
          </c:cat>
          <c:val>
            <c:numRef>
              <c:f>Sheet1!$B$2:$B$7</c:f>
              <c:numCache>
                <c:formatCode>General</c:formatCode>
                <c:ptCount val="6"/>
                <c:pt idx="0">
                  <c:v>44</c:v>
                </c:pt>
                <c:pt idx="1">
                  <c:v>46</c:v>
                </c:pt>
                <c:pt idx="2">
                  <c:v>45</c:v>
                </c:pt>
                <c:pt idx="3">
                  <c:v>48</c:v>
                </c:pt>
                <c:pt idx="4">
                  <c:v>41</c:v>
                </c:pt>
                <c:pt idx="5">
                  <c:v>49</c:v>
                </c:pt>
              </c:numCache>
            </c:numRef>
          </c:val>
        </c:ser>
        <c:dLbls>
          <c:showLegendKey val="0"/>
          <c:showVal val="0"/>
          <c:showCatName val="0"/>
          <c:showSerName val="0"/>
          <c:showPercent val="0"/>
          <c:showBubbleSize val="0"/>
        </c:dLbls>
        <c:gapWidth val="150"/>
        <c:axId val="25025920"/>
        <c:axId val="25618688"/>
      </c:barChart>
      <c:catAx>
        <c:axId val="25025920"/>
        <c:scaling>
          <c:orientation val="minMax"/>
        </c:scaling>
        <c:delete val="0"/>
        <c:axPos val="l"/>
        <c:majorTickMark val="out"/>
        <c:minorTickMark val="none"/>
        <c:tickLblPos val="nextTo"/>
        <c:crossAx val="25618688"/>
        <c:crosses val="autoZero"/>
        <c:auto val="1"/>
        <c:lblAlgn val="ctr"/>
        <c:lblOffset val="100"/>
        <c:noMultiLvlLbl val="0"/>
      </c:catAx>
      <c:valAx>
        <c:axId val="25618688"/>
        <c:scaling>
          <c:orientation val="minMax"/>
        </c:scaling>
        <c:delete val="0"/>
        <c:axPos val="b"/>
        <c:majorGridlines/>
        <c:numFmt formatCode="General" sourceLinked="1"/>
        <c:majorTickMark val="out"/>
        <c:minorTickMark val="none"/>
        <c:tickLblPos val="nextTo"/>
        <c:crossAx val="25025920"/>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DFA14-759D-4C20-8EBB-BED70B64A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4</Pages>
  <Words>742</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Content: Please review this draft for accuracy and completeness, mark any revisions on this draft, and return it to me</vt:lpstr>
    </vt:vector>
  </TitlesOfParts>
  <Company>Home</Company>
  <LinksUpToDate>false</LinksUpToDate>
  <CharactersWithSpaces>4984</CharactersWithSpaces>
  <SharedDoc>false</SharedDoc>
  <HLinks>
    <vt:vector size="84" baseType="variant">
      <vt:variant>
        <vt:i4>3407895</vt:i4>
      </vt:variant>
      <vt:variant>
        <vt:i4>39</vt:i4>
      </vt:variant>
      <vt:variant>
        <vt:i4>0</vt:i4>
      </vt:variant>
      <vt:variant>
        <vt:i4>5</vt:i4>
      </vt:variant>
      <vt:variant>
        <vt:lpwstr>http://images.acswebnetworks.com/2017/614/Newhouse_Job_Fair_Employers.pdf</vt:lpwstr>
      </vt:variant>
      <vt:variant>
        <vt:lpwstr/>
      </vt:variant>
      <vt:variant>
        <vt:i4>1507379</vt:i4>
      </vt:variant>
      <vt:variant>
        <vt:i4>36</vt:i4>
      </vt:variant>
      <vt:variant>
        <vt:i4>0</vt:i4>
      </vt:variant>
      <vt:variant>
        <vt:i4>5</vt:i4>
      </vt:variant>
      <vt:variant>
        <vt:lpwstr>http://images.acswebnetworks.com/2017/614/Newhouse_Interviews.pdf</vt:lpwstr>
      </vt:variant>
      <vt:variant>
        <vt:lpwstr/>
      </vt:variant>
      <vt:variant>
        <vt:i4>2621453</vt:i4>
      </vt:variant>
      <vt:variant>
        <vt:i4>33</vt:i4>
      </vt:variant>
      <vt:variant>
        <vt:i4>0</vt:i4>
      </vt:variant>
      <vt:variant>
        <vt:i4>5</vt:i4>
      </vt:variant>
      <vt:variant>
        <vt:lpwstr>http://images.acswebnetworks.com/2017/614/McLaughlin_SampleeTrackReports05_04_07.pdf</vt:lpwstr>
      </vt:variant>
      <vt:variant>
        <vt:lpwstr/>
      </vt:variant>
      <vt:variant>
        <vt:i4>6553666</vt:i4>
      </vt:variant>
      <vt:variant>
        <vt:i4>30</vt:i4>
      </vt:variant>
      <vt:variant>
        <vt:i4>0</vt:i4>
      </vt:variant>
      <vt:variant>
        <vt:i4>5</vt:i4>
      </vt:variant>
      <vt:variant>
        <vt:lpwstr>http://images.acswebnetworks.com/2017/614/DNewhouse___email_to_Denny_Ciganovic__SCESC_05_30_07.pdf</vt:lpwstr>
      </vt:variant>
      <vt:variant>
        <vt:lpwstr/>
      </vt:variant>
      <vt:variant>
        <vt:i4>8061037</vt:i4>
      </vt:variant>
      <vt:variant>
        <vt:i4>27</vt:i4>
      </vt:variant>
      <vt:variant>
        <vt:i4>0</vt:i4>
      </vt:variant>
      <vt:variant>
        <vt:i4>5</vt:i4>
      </vt:variant>
      <vt:variant>
        <vt:lpwstr>http://images.acswebnetworks.com/2017/614/NewhouseFWSampleoftheData.pdf</vt:lpwstr>
      </vt:variant>
      <vt:variant>
        <vt:lpwstr/>
      </vt:variant>
      <vt:variant>
        <vt:i4>8192026</vt:i4>
      </vt:variant>
      <vt:variant>
        <vt:i4>24</vt:i4>
      </vt:variant>
      <vt:variant>
        <vt:i4>0</vt:i4>
      </vt:variant>
      <vt:variant>
        <vt:i4>5</vt:i4>
      </vt:variant>
      <vt:variant>
        <vt:lpwstr>http://images.acswebnetworks.com/2017/77/Alumni_Survey_Charts_2005.pdf</vt:lpwstr>
      </vt:variant>
      <vt:variant>
        <vt:lpwstr/>
      </vt:variant>
      <vt:variant>
        <vt:i4>1835009</vt:i4>
      </vt:variant>
      <vt:variant>
        <vt:i4>21</vt:i4>
      </vt:variant>
      <vt:variant>
        <vt:i4>0</vt:i4>
      </vt:variant>
      <vt:variant>
        <vt:i4>5</vt:i4>
      </vt:variant>
      <vt:variant>
        <vt:lpwstr>http://images.acswebnetworks.com/2017/614/PraxisExaminees.pdf</vt:lpwstr>
      </vt:variant>
      <vt:variant>
        <vt:lpwstr/>
      </vt:variant>
      <vt:variant>
        <vt:i4>1572883</vt:i4>
      </vt:variant>
      <vt:variant>
        <vt:i4>18</vt:i4>
      </vt:variant>
      <vt:variant>
        <vt:i4>0</vt:i4>
      </vt:variant>
      <vt:variant>
        <vt:i4>5</vt:i4>
      </vt:variant>
      <vt:variant>
        <vt:lpwstr>http://images.acswebnetworks.com/2017/614/TitleIIandPraxisPerformance.pdf</vt:lpwstr>
      </vt:variant>
      <vt:variant>
        <vt:lpwstr/>
      </vt:variant>
      <vt:variant>
        <vt:i4>2818150</vt:i4>
      </vt:variant>
      <vt:variant>
        <vt:i4>15</vt:i4>
      </vt:variant>
      <vt:variant>
        <vt:i4>0</vt:i4>
      </vt:variant>
      <vt:variant>
        <vt:i4>5</vt:i4>
      </vt:variant>
      <vt:variant>
        <vt:lpwstr>http://www.fmarion.edu/about/IEReports</vt:lpwstr>
      </vt:variant>
      <vt:variant>
        <vt:lpwstr/>
      </vt:variant>
      <vt:variant>
        <vt:i4>2687027</vt:i4>
      </vt:variant>
      <vt:variant>
        <vt:i4>12</vt:i4>
      </vt:variant>
      <vt:variant>
        <vt:i4>0</vt:i4>
      </vt:variant>
      <vt:variant>
        <vt:i4>5</vt:i4>
      </vt:variant>
      <vt:variant>
        <vt:lpwstr>http://images.acswebnetworks.com/2017/614/Beth_McLean__Registrar__Re_Total_Graduates_in_December_2006.pdf</vt:lpwstr>
      </vt:variant>
      <vt:variant>
        <vt:lpwstr/>
      </vt:variant>
      <vt:variant>
        <vt:i4>327800</vt:i4>
      </vt:variant>
      <vt:variant>
        <vt:i4>9</vt:i4>
      </vt:variant>
      <vt:variant>
        <vt:i4>0</vt:i4>
      </vt:variant>
      <vt:variant>
        <vt:i4>5</vt:i4>
      </vt:variant>
      <vt:variant>
        <vt:lpwstr>http://images.acswebnetworks.com/2017/77/Fall_2005_Graduation_Rates__4__5.pdf</vt:lpwstr>
      </vt:variant>
      <vt:variant>
        <vt:lpwstr/>
      </vt:variant>
      <vt:variant>
        <vt:i4>7733347</vt:i4>
      </vt:variant>
      <vt:variant>
        <vt:i4>6</vt:i4>
      </vt:variant>
      <vt:variant>
        <vt:i4>0</vt:i4>
      </vt:variant>
      <vt:variant>
        <vt:i4>5</vt:i4>
      </vt:variant>
      <vt:variant>
        <vt:lpwstr>http://images.acswebnetworks.com/2017/77/Fall_2005_Retention_Rates__1_and.pdf</vt:lpwstr>
      </vt:variant>
      <vt:variant>
        <vt:lpwstr/>
      </vt:variant>
      <vt:variant>
        <vt:i4>393221</vt:i4>
      </vt:variant>
      <vt:variant>
        <vt:i4>3</vt:i4>
      </vt:variant>
      <vt:variant>
        <vt:i4>0</vt:i4>
      </vt:variant>
      <vt:variant>
        <vt:i4>5</vt:i4>
      </vt:variant>
      <vt:variant>
        <vt:lpwstr>http://images.acswebnetworks.com/2017/614/EmailAttachmentfromKimDavis.doc</vt:lpwstr>
      </vt:variant>
      <vt:variant>
        <vt:lpwstr/>
      </vt:variant>
      <vt:variant>
        <vt:i4>1703949</vt:i4>
      </vt:variant>
      <vt:variant>
        <vt:i4>0</vt:i4>
      </vt:variant>
      <vt:variant>
        <vt:i4>0</vt:i4>
      </vt:variant>
      <vt:variant>
        <vt:i4>5</vt:i4>
      </vt:variant>
      <vt:variant>
        <vt:lpwstr>http://alpha1.fmarion.edu/~catalog/Cat0607/index.htm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 Please review this draft for accuracy and completeness, mark any revisions on this draft, and return it to me</dc:title>
  <dc:creator>Charlene Wages</dc:creator>
  <cp:lastModifiedBy>Administrator</cp:lastModifiedBy>
  <cp:revision>26</cp:revision>
  <cp:lastPrinted>2014-04-04T14:50:00Z</cp:lastPrinted>
  <dcterms:created xsi:type="dcterms:W3CDTF">2014-03-25T11:11:00Z</dcterms:created>
  <dcterms:modified xsi:type="dcterms:W3CDTF">2014-04-04T17:04:00Z</dcterms:modified>
</cp:coreProperties>
</file>