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0D" w:rsidRPr="00362A5B" w:rsidRDefault="0001510D" w:rsidP="0001510D">
      <w:pPr>
        <w:jc w:val="center"/>
        <w:rPr>
          <w:rFonts w:cstheme="minorHAnsi"/>
        </w:rPr>
      </w:pPr>
      <w:bookmarkStart w:id="0" w:name="_GoBack"/>
      <w:bookmarkEnd w:id="0"/>
      <w:r w:rsidRPr="00362A5B">
        <w:rPr>
          <w:rFonts w:cstheme="minorHAnsi"/>
        </w:rPr>
        <w:t>Annual Report for the Academic Year 2020-2021</w:t>
      </w:r>
    </w:p>
    <w:p w:rsidR="0001510D" w:rsidRPr="00362A5B" w:rsidRDefault="0001510D" w:rsidP="0001510D">
      <w:pPr>
        <w:jc w:val="center"/>
        <w:rPr>
          <w:rFonts w:cstheme="minorHAnsi"/>
        </w:rPr>
      </w:pPr>
      <w:r w:rsidRPr="00362A5B">
        <w:rPr>
          <w:rFonts w:cstheme="minorHAnsi"/>
        </w:rPr>
        <w:t>4.2 - Accountability Measures as Required by CAEP for CHEA Requirements</w:t>
      </w:r>
    </w:p>
    <w:p w:rsidR="0001510D" w:rsidRDefault="0001510D" w:rsidP="0001510D">
      <w:pPr>
        <w:spacing w:after="0"/>
        <w:rPr>
          <w:rFonts w:cstheme="minorHAnsi"/>
          <w:b/>
        </w:rPr>
      </w:pPr>
      <w:r w:rsidRPr="0001510D">
        <w:rPr>
          <w:rFonts w:cstheme="minorHAnsi"/>
          <w:b/>
        </w:rPr>
        <w:t>Measure 3: Candidate Competency at Completion</w:t>
      </w:r>
    </w:p>
    <w:p w:rsidR="0001510D" w:rsidRPr="0001510D" w:rsidRDefault="0001510D" w:rsidP="0001510D">
      <w:pPr>
        <w:spacing w:after="0"/>
        <w:rPr>
          <w:rFonts w:cstheme="minorHAnsi"/>
          <w:b/>
        </w:rPr>
      </w:pPr>
    </w:p>
    <w:p w:rsidR="0001510D" w:rsidRDefault="0001510D" w:rsidP="0001510D">
      <w:pPr>
        <w:spacing w:after="0"/>
        <w:rPr>
          <w:rFonts w:cstheme="minorHAnsi"/>
        </w:rPr>
      </w:pPr>
      <w:r w:rsidRPr="0001510D">
        <w:rPr>
          <w:rFonts w:cstheme="minorHAnsi"/>
          <w:b/>
        </w:rPr>
        <w:t>Initial</w:t>
      </w:r>
      <w:r>
        <w:rPr>
          <w:rFonts w:cstheme="minorHAnsi"/>
        </w:rPr>
        <w:t>: Completers from the School of Education seeking initial licensure meet South Carolina Department of Education Requirements for licensure in:</w:t>
      </w:r>
    </w:p>
    <w:p w:rsidR="0001510D" w:rsidRDefault="0001510D" w:rsidP="0001510D">
      <w:pPr>
        <w:spacing w:after="0"/>
        <w:rPr>
          <w:rFonts w:cstheme="minorHAnsi"/>
        </w:rPr>
      </w:pPr>
      <w:r>
        <w:rPr>
          <w:rFonts w:cstheme="minorHAnsi"/>
        </w:rPr>
        <w:tab/>
        <w:t>Early Childhood Education</w:t>
      </w:r>
    </w:p>
    <w:p w:rsidR="0001510D" w:rsidRDefault="0001510D" w:rsidP="0001510D">
      <w:pPr>
        <w:spacing w:after="0"/>
        <w:rPr>
          <w:rFonts w:cstheme="minorHAnsi"/>
        </w:rPr>
      </w:pPr>
      <w:r>
        <w:rPr>
          <w:rFonts w:cstheme="minorHAnsi"/>
        </w:rPr>
        <w:tab/>
        <w:t>Elementary Education</w:t>
      </w:r>
    </w:p>
    <w:p w:rsidR="0001510D" w:rsidRDefault="0001510D" w:rsidP="0001510D">
      <w:pPr>
        <w:spacing w:after="0"/>
        <w:rPr>
          <w:rFonts w:cstheme="minorHAnsi"/>
        </w:rPr>
      </w:pPr>
      <w:r>
        <w:rPr>
          <w:rFonts w:cstheme="minorHAnsi"/>
        </w:rPr>
        <w:tab/>
        <w:t>Special Education</w:t>
      </w:r>
    </w:p>
    <w:p w:rsidR="0001510D" w:rsidRDefault="0001510D" w:rsidP="0001510D">
      <w:pPr>
        <w:spacing w:after="0"/>
        <w:rPr>
          <w:rFonts w:cstheme="minorHAnsi"/>
        </w:rPr>
      </w:pPr>
      <w:r>
        <w:rPr>
          <w:rFonts w:cstheme="minorHAnsi"/>
        </w:rPr>
        <w:tab/>
        <w:t>Teacher Education – Art</w:t>
      </w:r>
    </w:p>
    <w:p w:rsidR="0001510D" w:rsidRDefault="0001510D" w:rsidP="0001510D">
      <w:pPr>
        <w:spacing w:after="0"/>
        <w:rPr>
          <w:rFonts w:cstheme="minorHAnsi"/>
        </w:rPr>
      </w:pPr>
      <w:r>
        <w:rPr>
          <w:rFonts w:cstheme="minorHAnsi"/>
        </w:rPr>
        <w:tab/>
        <w:t>Teacher Education – Biology</w:t>
      </w:r>
    </w:p>
    <w:p w:rsidR="0001510D" w:rsidRDefault="0001510D" w:rsidP="0001510D">
      <w:pPr>
        <w:spacing w:after="0"/>
        <w:rPr>
          <w:rFonts w:cstheme="minorHAnsi"/>
        </w:rPr>
      </w:pPr>
      <w:r>
        <w:rPr>
          <w:rFonts w:cstheme="minorHAnsi"/>
        </w:rPr>
        <w:tab/>
        <w:t>Teacher Education – English/Language Arts</w:t>
      </w:r>
    </w:p>
    <w:p w:rsidR="0001510D" w:rsidRDefault="0001510D" w:rsidP="0001510D">
      <w:pPr>
        <w:spacing w:after="0"/>
        <w:rPr>
          <w:rFonts w:cstheme="minorHAnsi"/>
        </w:rPr>
      </w:pPr>
      <w:r>
        <w:rPr>
          <w:rFonts w:cstheme="minorHAnsi"/>
        </w:rPr>
        <w:tab/>
        <w:t>Teacher Education – History</w:t>
      </w:r>
    </w:p>
    <w:p w:rsidR="0001510D" w:rsidRDefault="0001510D" w:rsidP="0001510D">
      <w:pPr>
        <w:spacing w:after="0"/>
        <w:rPr>
          <w:rFonts w:cstheme="minorHAnsi"/>
        </w:rPr>
      </w:pPr>
      <w:r>
        <w:rPr>
          <w:rFonts w:cstheme="minorHAnsi"/>
        </w:rPr>
        <w:tab/>
        <w:t>Teacher Education - Mathematics</w:t>
      </w:r>
    </w:p>
    <w:p w:rsidR="0001510D" w:rsidRDefault="0001510D" w:rsidP="0001510D">
      <w:pPr>
        <w:spacing w:after="0"/>
        <w:rPr>
          <w:rFonts w:cstheme="minorHAnsi"/>
        </w:rPr>
      </w:pPr>
      <w:r>
        <w:rPr>
          <w:rFonts w:cstheme="minorHAnsi"/>
        </w:rPr>
        <w:t>Prior to graduating through candidates must meet requirements through:</w:t>
      </w:r>
    </w:p>
    <w:p w:rsidR="0001510D" w:rsidRDefault="0001510D" w:rsidP="0001510D">
      <w:pPr>
        <w:spacing w:after="0"/>
        <w:rPr>
          <w:rFonts w:cstheme="minorHAnsi"/>
        </w:rPr>
      </w:pPr>
      <w:r>
        <w:rPr>
          <w:rFonts w:cstheme="minorHAnsi"/>
        </w:rPr>
        <w:tab/>
        <w:t>PRAXIS Certification Exams</w:t>
      </w:r>
    </w:p>
    <w:p w:rsidR="0001510D" w:rsidRDefault="0001510D" w:rsidP="0001510D">
      <w:pPr>
        <w:spacing w:after="0"/>
        <w:rPr>
          <w:rFonts w:cstheme="minorHAnsi"/>
        </w:rPr>
      </w:pPr>
      <w:r>
        <w:rPr>
          <w:rFonts w:cstheme="minorHAnsi"/>
        </w:rPr>
        <w:tab/>
        <w:t>Clinical Experiences/Student Teaching</w:t>
      </w:r>
    </w:p>
    <w:p w:rsidR="0001510D" w:rsidRDefault="0001510D" w:rsidP="0001510D">
      <w:pPr>
        <w:spacing w:after="0"/>
        <w:rPr>
          <w:rFonts w:cstheme="minorHAnsi"/>
        </w:rPr>
      </w:pPr>
      <w:r>
        <w:rPr>
          <w:rFonts w:cstheme="minorHAnsi"/>
        </w:rPr>
        <w:tab/>
        <w:t>Practicum Experiences in School Settings</w:t>
      </w:r>
    </w:p>
    <w:p w:rsidR="0001510D" w:rsidRDefault="0001510D" w:rsidP="0001510D">
      <w:pPr>
        <w:spacing w:after="0"/>
        <w:rPr>
          <w:rFonts w:cstheme="minorHAnsi"/>
        </w:rPr>
      </w:pPr>
      <w:r>
        <w:rPr>
          <w:rFonts w:cstheme="minorHAnsi"/>
        </w:rPr>
        <w:tab/>
        <w:t>Course Assessments</w:t>
      </w:r>
    </w:p>
    <w:p w:rsidR="0001510D" w:rsidRDefault="0001510D" w:rsidP="0001510D">
      <w:pPr>
        <w:spacing w:after="0"/>
        <w:rPr>
          <w:rFonts w:cstheme="minorHAnsi"/>
        </w:rPr>
      </w:pPr>
      <w:r>
        <w:rPr>
          <w:rFonts w:cstheme="minorHAnsi"/>
        </w:rPr>
        <w:tab/>
        <w:t>Cooperating Teacher (Public School) Disposition Ratings</w:t>
      </w:r>
    </w:p>
    <w:p w:rsidR="0001510D" w:rsidRDefault="0001510D" w:rsidP="0001510D">
      <w:pPr>
        <w:spacing w:after="0"/>
        <w:rPr>
          <w:rFonts w:cstheme="minorHAnsi"/>
        </w:rPr>
      </w:pPr>
      <w:r>
        <w:rPr>
          <w:rFonts w:cstheme="minorHAnsi"/>
        </w:rPr>
        <w:tab/>
        <w:t>Cooperating Teacher (Public School) Recommendations</w:t>
      </w:r>
    </w:p>
    <w:p w:rsidR="0001510D" w:rsidRDefault="0001510D" w:rsidP="0001510D">
      <w:pPr>
        <w:spacing w:after="0"/>
        <w:rPr>
          <w:rFonts w:cstheme="minorHAnsi"/>
        </w:rPr>
      </w:pPr>
      <w:r>
        <w:rPr>
          <w:rFonts w:cstheme="minorHAnsi"/>
        </w:rPr>
        <w:tab/>
        <w:t>EPP Disposition Ratings</w:t>
      </w:r>
    </w:p>
    <w:p w:rsidR="0001510D" w:rsidRDefault="0001510D" w:rsidP="0001510D">
      <w:pPr>
        <w:spacing w:after="0"/>
        <w:rPr>
          <w:rFonts w:cstheme="minorHAnsi"/>
        </w:rPr>
      </w:pPr>
      <w:r>
        <w:rPr>
          <w:rFonts w:cstheme="minorHAnsi"/>
        </w:rPr>
        <w:tab/>
        <w:t>EPP Recommendations</w:t>
      </w:r>
    </w:p>
    <w:p w:rsidR="0001510D" w:rsidRDefault="0001510D" w:rsidP="0001510D">
      <w:pPr>
        <w:spacing w:after="0"/>
        <w:rPr>
          <w:rFonts w:cstheme="minorHAnsi"/>
        </w:rPr>
      </w:pPr>
      <w:r>
        <w:rPr>
          <w:rFonts w:cstheme="minorHAnsi"/>
        </w:rPr>
        <w:t xml:space="preserve">Reports are provided to the State Department of Education through Title II Reports on candidates and requirements every year for admission into the EPP and criteria on completion. At this time, the information required for the Title II report on completers for the academic year 2020-2021 has not yet been provided to this EPP. It is anticipated that although in the past the EPP had 100% of it completers meeting all the requirements, the recent COVID pandemic will have affected these numbers as they pertain to the PRAXIS exams. PRAXIS suspended its exam requirements during the pandemic and the number of completers who were able to graduate without having taken the PRAXIS is unknown at this time. That data will be provided to us soon, we believe. </w:t>
      </w:r>
    </w:p>
    <w:p w:rsidR="0001510D" w:rsidRDefault="0001510D" w:rsidP="0001510D">
      <w:pPr>
        <w:spacing w:after="0"/>
        <w:rPr>
          <w:rFonts w:cstheme="minorHAnsi"/>
        </w:rPr>
      </w:pPr>
      <w:r>
        <w:rPr>
          <w:rFonts w:cstheme="minorHAnsi"/>
        </w:rPr>
        <w:tab/>
      </w:r>
    </w:p>
    <w:p w:rsidR="0001510D" w:rsidRPr="00362A5B" w:rsidRDefault="0001510D" w:rsidP="0001510D">
      <w:pPr>
        <w:spacing w:after="0"/>
        <w:rPr>
          <w:rFonts w:cstheme="minorHAnsi"/>
        </w:rPr>
      </w:pPr>
      <w:r w:rsidRPr="0001510D">
        <w:rPr>
          <w:rFonts w:cstheme="minorHAnsi"/>
          <w:b/>
        </w:rPr>
        <w:t>Advanced</w:t>
      </w:r>
      <w:r>
        <w:rPr>
          <w:rFonts w:cstheme="minorHAnsi"/>
        </w:rPr>
        <w:t>: Completers from the School Psychology Program seeking advanced licensure must meet requirements in:</w:t>
      </w:r>
    </w:p>
    <w:p w:rsidR="0001510D" w:rsidRDefault="0001510D" w:rsidP="0001510D">
      <w:pPr>
        <w:spacing w:after="0"/>
        <w:ind w:firstLine="720"/>
        <w:rPr>
          <w:rFonts w:cstheme="minorHAnsi"/>
        </w:rPr>
      </w:pPr>
      <w:r>
        <w:rPr>
          <w:rFonts w:cstheme="minorHAnsi"/>
        </w:rPr>
        <w:t>PRAXIS</w:t>
      </w:r>
    </w:p>
    <w:p w:rsidR="0001510D" w:rsidRDefault="0001510D" w:rsidP="0001510D">
      <w:pPr>
        <w:spacing w:after="0"/>
        <w:ind w:firstLine="720"/>
        <w:rPr>
          <w:rFonts w:cstheme="minorHAnsi"/>
        </w:rPr>
      </w:pPr>
      <w:r>
        <w:rPr>
          <w:rFonts w:cstheme="minorHAnsi"/>
        </w:rPr>
        <w:t>Site Supervisor -Recommendations</w:t>
      </w:r>
    </w:p>
    <w:p w:rsidR="0001510D" w:rsidRDefault="0001510D" w:rsidP="0001510D">
      <w:pPr>
        <w:spacing w:after="0"/>
        <w:ind w:firstLine="720"/>
        <w:rPr>
          <w:rFonts w:cstheme="minorHAnsi"/>
        </w:rPr>
      </w:pPr>
      <w:r>
        <w:rPr>
          <w:rFonts w:cstheme="minorHAnsi"/>
        </w:rPr>
        <w:t>University Supervisor - Recommendations</w:t>
      </w:r>
    </w:p>
    <w:p w:rsidR="0001510D" w:rsidRDefault="0001510D" w:rsidP="0001510D">
      <w:pPr>
        <w:spacing w:after="0"/>
        <w:ind w:firstLine="720"/>
        <w:rPr>
          <w:rFonts w:cstheme="minorHAnsi"/>
        </w:rPr>
      </w:pPr>
      <w:r>
        <w:rPr>
          <w:rFonts w:cstheme="minorHAnsi"/>
        </w:rPr>
        <w:t>Competency Ratings across 10 NASP Domains (Internship and Site Assignments)</w:t>
      </w:r>
    </w:p>
    <w:p w:rsidR="0001510D" w:rsidRDefault="0001510D" w:rsidP="0001510D">
      <w:pPr>
        <w:spacing w:after="0"/>
        <w:ind w:firstLine="720"/>
        <w:rPr>
          <w:rFonts w:cstheme="minorHAnsi"/>
        </w:rPr>
      </w:pPr>
      <w:r>
        <w:rPr>
          <w:rFonts w:cstheme="minorHAnsi"/>
        </w:rPr>
        <w:t>Self-Assessments 10 NASP Domains</w:t>
      </w:r>
    </w:p>
    <w:p w:rsidR="0001510D" w:rsidRDefault="0001510D" w:rsidP="0001510D">
      <w:pPr>
        <w:spacing w:after="0"/>
        <w:ind w:firstLine="720"/>
        <w:rPr>
          <w:rFonts w:cstheme="minorHAnsi"/>
        </w:rPr>
      </w:pPr>
      <w:r>
        <w:rPr>
          <w:rFonts w:cstheme="minorHAnsi"/>
        </w:rPr>
        <w:t>Comprehensive Oral Exam end of 1st, 2</w:t>
      </w:r>
      <w:r w:rsidRPr="000F481A">
        <w:rPr>
          <w:rFonts w:cstheme="minorHAnsi"/>
          <w:vertAlign w:val="superscript"/>
        </w:rPr>
        <w:t>nd</w:t>
      </w:r>
      <w:r>
        <w:rPr>
          <w:rFonts w:cstheme="minorHAnsi"/>
        </w:rPr>
        <w:t xml:space="preserve"> 3</w:t>
      </w:r>
      <w:r w:rsidRPr="000F481A">
        <w:rPr>
          <w:rFonts w:cstheme="minorHAnsi"/>
          <w:vertAlign w:val="superscript"/>
        </w:rPr>
        <w:t>rd</w:t>
      </w:r>
    </w:p>
    <w:p w:rsidR="0001510D" w:rsidRDefault="0001510D" w:rsidP="0001510D">
      <w:pPr>
        <w:spacing w:after="0"/>
        <w:ind w:firstLine="720"/>
        <w:rPr>
          <w:rFonts w:cstheme="minorHAnsi"/>
        </w:rPr>
      </w:pPr>
      <w:r>
        <w:rPr>
          <w:rFonts w:cstheme="minorHAnsi"/>
        </w:rPr>
        <w:t>Written Exam end of 1</w:t>
      </w:r>
      <w:r w:rsidRPr="000F481A">
        <w:rPr>
          <w:rFonts w:cstheme="minorHAnsi"/>
          <w:vertAlign w:val="superscript"/>
        </w:rPr>
        <w:t>st</w:t>
      </w:r>
      <w:r>
        <w:rPr>
          <w:rFonts w:cstheme="minorHAnsi"/>
        </w:rPr>
        <w:t>, 2</w:t>
      </w:r>
      <w:r w:rsidRPr="000F481A">
        <w:rPr>
          <w:rFonts w:cstheme="minorHAnsi"/>
          <w:vertAlign w:val="superscript"/>
        </w:rPr>
        <w:t>nd</w:t>
      </w:r>
      <w:r>
        <w:rPr>
          <w:rFonts w:cstheme="minorHAnsi"/>
        </w:rPr>
        <w:t xml:space="preserve"> 3</w:t>
      </w:r>
      <w:r w:rsidRPr="000F481A">
        <w:rPr>
          <w:rFonts w:cstheme="minorHAnsi"/>
          <w:vertAlign w:val="superscript"/>
        </w:rPr>
        <w:t>rd</w:t>
      </w:r>
      <w:r>
        <w:rPr>
          <w:rFonts w:cstheme="minorHAnsi"/>
        </w:rPr>
        <w:t xml:space="preserve"> year</w:t>
      </w:r>
    </w:p>
    <w:p w:rsidR="0001510D" w:rsidRDefault="0001510D" w:rsidP="0001510D">
      <w:pPr>
        <w:spacing w:after="0"/>
        <w:ind w:firstLine="720"/>
        <w:rPr>
          <w:rFonts w:cstheme="minorHAnsi"/>
        </w:rPr>
      </w:pPr>
      <w:r>
        <w:rPr>
          <w:rFonts w:cstheme="minorHAnsi"/>
        </w:rPr>
        <w:t>Comprehensive Ratings on Interpersonal Skills</w:t>
      </w:r>
    </w:p>
    <w:p w:rsidR="00E92C98" w:rsidRDefault="0001510D" w:rsidP="0001510D">
      <w:pPr>
        <w:spacing w:after="0"/>
        <w:ind w:firstLine="720"/>
      </w:pPr>
      <w:r>
        <w:rPr>
          <w:rFonts w:cstheme="minorHAnsi"/>
        </w:rPr>
        <w:lastRenderedPageBreak/>
        <w:t>Title II Report to NASP</w:t>
      </w:r>
    </w:p>
    <w:sectPr w:rsidR="00E9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0D"/>
    <w:rsid w:val="0001510D"/>
    <w:rsid w:val="00200EBB"/>
    <w:rsid w:val="00E9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F9A22-9184-49D5-83BB-2DF1F3F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 Johnston</dc:creator>
  <cp:keywords/>
  <dc:description/>
  <cp:lastModifiedBy>Jennifer Lynn Cason</cp:lastModifiedBy>
  <cp:revision>2</cp:revision>
  <dcterms:created xsi:type="dcterms:W3CDTF">2022-04-22T12:40:00Z</dcterms:created>
  <dcterms:modified xsi:type="dcterms:W3CDTF">2022-04-22T12:40:00Z</dcterms:modified>
</cp:coreProperties>
</file>