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FFD4" w14:textId="5BF68F21" w:rsidR="00051657" w:rsidRDefault="00051657" w:rsidP="00051657">
      <w:pPr>
        <w:spacing w:after="0"/>
        <w:jc w:val="center"/>
        <w:rPr>
          <w:b/>
          <w:bCs/>
          <w:sz w:val="32"/>
          <w:szCs w:val="32"/>
        </w:rPr>
      </w:pPr>
      <w:r w:rsidRPr="00051657">
        <w:rPr>
          <w:b/>
          <w:bCs/>
          <w:sz w:val="32"/>
          <w:szCs w:val="32"/>
        </w:rPr>
        <w:t>Annual Report for the Academic Year 202</w:t>
      </w:r>
      <w:r>
        <w:rPr>
          <w:b/>
          <w:bCs/>
          <w:sz w:val="32"/>
          <w:szCs w:val="32"/>
        </w:rPr>
        <w:t>3</w:t>
      </w:r>
      <w:r w:rsidRPr="00051657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4</w:t>
      </w:r>
    </w:p>
    <w:p w14:paraId="0BF40584" w14:textId="04BCB233" w:rsidR="001A1342" w:rsidRDefault="001A1342" w:rsidP="001A1342">
      <w:pPr>
        <w:spacing w:after="0"/>
        <w:jc w:val="center"/>
        <w:rPr>
          <w:b/>
          <w:bCs/>
          <w:sz w:val="32"/>
          <w:szCs w:val="32"/>
        </w:rPr>
      </w:pPr>
      <w:r w:rsidRPr="00D00F7A">
        <w:rPr>
          <w:b/>
          <w:bCs/>
          <w:sz w:val="32"/>
          <w:szCs w:val="32"/>
        </w:rPr>
        <w:t>Measure 1</w:t>
      </w:r>
      <w:r w:rsidR="00E27AFB" w:rsidRPr="00D00F7A">
        <w:rPr>
          <w:b/>
          <w:bCs/>
          <w:sz w:val="32"/>
          <w:szCs w:val="32"/>
        </w:rPr>
        <w:t xml:space="preserve">: </w:t>
      </w:r>
      <w:r w:rsidRPr="00D00F7A">
        <w:rPr>
          <w:b/>
          <w:bCs/>
          <w:sz w:val="32"/>
          <w:szCs w:val="32"/>
        </w:rPr>
        <w:t>Completer Impact and Effectiveness</w:t>
      </w:r>
    </w:p>
    <w:p w14:paraId="4D5F46A1" w14:textId="52EB3226" w:rsidR="004466DA" w:rsidRPr="00051657" w:rsidRDefault="004466DA" w:rsidP="001A1342">
      <w:pPr>
        <w:spacing w:after="0"/>
        <w:jc w:val="center"/>
        <w:rPr>
          <w:sz w:val="22"/>
          <w:szCs w:val="22"/>
        </w:rPr>
      </w:pPr>
      <w:bookmarkStart w:id="0" w:name="_Hlk195793202"/>
      <w:r w:rsidRPr="00051657">
        <w:rPr>
          <w:sz w:val="22"/>
          <w:szCs w:val="22"/>
        </w:rPr>
        <w:t>4.2—Accountability Measures as Required by CAEP for CHEA Requirements</w:t>
      </w:r>
    </w:p>
    <w:bookmarkEnd w:id="0"/>
    <w:p w14:paraId="3D4714D9" w14:textId="77777777" w:rsidR="004466DA" w:rsidRDefault="004466DA" w:rsidP="001A1342">
      <w:pPr>
        <w:spacing w:after="0"/>
        <w:jc w:val="center"/>
        <w:rPr>
          <w:b/>
          <w:bCs/>
          <w:sz w:val="32"/>
          <w:szCs w:val="32"/>
        </w:rPr>
      </w:pPr>
    </w:p>
    <w:p w14:paraId="61AB8C0E" w14:textId="66CC8508" w:rsidR="001A1342" w:rsidRDefault="00F12B58" w:rsidP="001A1342">
      <w:pPr>
        <w:spacing w:after="0"/>
        <w:jc w:val="center"/>
        <w:rPr>
          <w:b/>
          <w:bCs/>
          <w:sz w:val="32"/>
          <w:szCs w:val="32"/>
        </w:rPr>
      </w:pPr>
      <w:r w:rsidRPr="001A1342">
        <w:rPr>
          <w:b/>
          <w:bCs/>
          <w:sz w:val="32"/>
          <w:szCs w:val="32"/>
        </w:rPr>
        <w:t>Completer Impact</w:t>
      </w:r>
    </w:p>
    <w:p w14:paraId="6D2D3EF6" w14:textId="77777777" w:rsidR="00524EF0" w:rsidRDefault="00524EF0" w:rsidP="00524EF0">
      <w:pPr>
        <w:spacing w:after="0"/>
        <w:rPr>
          <w:b/>
          <w:bCs/>
          <w:sz w:val="32"/>
          <w:szCs w:val="32"/>
        </w:rPr>
      </w:pPr>
    </w:p>
    <w:p w14:paraId="42CA1BB0" w14:textId="6303F817" w:rsidR="00524EF0" w:rsidRPr="00E27AFB" w:rsidRDefault="00524EF0" w:rsidP="00524EF0">
      <w:pPr>
        <w:spacing w:after="0"/>
      </w:pPr>
      <w:r w:rsidRPr="00E27AFB">
        <w:t xml:space="preserve">Every year the EPP utilizes a survey to document </w:t>
      </w:r>
      <w:r w:rsidR="00EA3D8D">
        <w:t>c</w:t>
      </w:r>
      <w:r w:rsidRPr="00E27AFB">
        <w:t xml:space="preserve">ompleter Impact in contributing to the learning and growth of P-12 students, as well as the effectiveness of completers in applying professional knowledge, </w:t>
      </w:r>
      <w:proofErr w:type="gramStart"/>
      <w:r w:rsidRPr="00E27AFB">
        <w:t>skills</w:t>
      </w:r>
      <w:proofErr w:type="gramEnd"/>
      <w:r w:rsidRPr="00E27AFB">
        <w:t xml:space="preserve"> and dispositions</w:t>
      </w:r>
      <w:r w:rsidR="00E27AFB" w:rsidRPr="00E27AFB">
        <w:t xml:space="preserve">. The following items in </w:t>
      </w:r>
      <w:r w:rsidR="00D56C75">
        <w:t>Table 1</w:t>
      </w:r>
      <w:r w:rsidR="00E27AFB" w:rsidRPr="00E27AFB">
        <w:t xml:space="preserve"> include mean </w:t>
      </w:r>
      <w:r w:rsidR="00D56C75">
        <w:t xml:space="preserve">weighted </w:t>
      </w:r>
      <w:r w:rsidR="00E27AFB" w:rsidRPr="00E27AFB">
        <w:t xml:space="preserve">responses from the </w:t>
      </w:r>
      <w:r w:rsidR="00822F69" w:rsidRPr="00E27AFB">
        <w:t xml:space="preserve">completers </w:t>
      </w:r>
      <w:r w:rsidR="00822F69">
        <w:t>and</w:t>
      </w:r>
      <w:r w:rsidR="00D56C75">
        <w:t xml:space="preserve"> employers </w:t>
      </w:r>
      <w:r w:rsidR="00E27AFB" w:rsidRPr="00E27AFB">
        <w:t xml:space="preserve">that measure </w:t>
      </w:r>
      <w:proofErr w:type="gramStart"/>
      <w:r w:rsidR="00E27AFB" w:rsidRPr="00E27AFB">
        <w:t>completer</w:t>
      </w:r>
      <w:proofErr w:type="gramEnd"/>
      <w:r w:rsidR="00E27AFB" w:rsidRPr="00E27AFB">
        <w:t xml:space="preserve"> impact on P-12 students. These items were determined to have content validity based on the CAEP-recommended Lawshe method.</w:t>
      </w:r>
    </w:p>
    <w:p w14:paraId="1EBB36DE" w14:textId="77777777" w:rsidR="00E27AFB" w:rsidRPr="00E27AFB" w:rsidRDefault="00E27AFB" w:rsidP="00524EF0">
      <w:pPr>
        <w:spacing w:after="0"/>
      </w:pPr>
    </w:p>
    <w:p w14:paraId="3E073F16" w14:textId="46326EBA" w:rsidR="00E27AFB" w:rsidRPr="00E27AFB" w:rsidRDefault="00E27AFB" w:rsidP="00E27AFB">
      <w:pPr>
        <w:spacing w:after="0"/>
      </w:pPr>
      <w:r w:rsidRPr="00E27AFB">
        <w:t xml:space="preserve">The EPP sent out </w:t>
      </w:r>
      <w:proofErr w:type="gramStart"/>
      <w:r w:rsidR="00DD575D">
        <w:t>44</w:t>
      </w:r>
      <w:proofErr w:type="gramEnd"/>
      <w:r w:rsidRPr="00E27AFB">
        <w:t xml:space="preserve"> surveys to 2023-2024 completers</w:t>
      </w:r>
      <w:r w:rsidR="00DD575D">
        <w:t xml:space="preserve"> and </w:t>
      </w:r>
      <w:proofErr w:type="gramStart"/>
      <w:r w:rsidR="00DD575D">
        <w:t>32</w:t>
      </w:r>
      <w:proofErr w:type="gramEnd"/>
      <w:r w:rsidR="00DD575D">
        <w:t xml:space="preserve"> surveys to their employers</w:t>
      </w:r>
      <w:r w:rsidRPr="00E27AFB">
        <w:t xml:space="preserve">. </w:t>
      </w:r>
      <w:r w:rsidR="00DD575D">
        <w:t xml:space="preserve">Data </w:t>
      </w:r>
      <w:r w:rsidR="00023B63">
        <w:t xml:space="preserve">collection </w:t>
      </w:r>
      <w:r w:rsidR="00023B63" w:rsidRPr="00E27AFB">
        <w:t>yielded</w:t>
      </w:r>
      <w:r w:rsidRPr="00E27AFB">
        <w:t xml:space="preserve"> </w:t>
      </w:r>
      <w:proofErr w:type="gramStart"/>
      <w:r w:rsidRPr="00DD575D">
        <w:t>1</w:t>
      </w:r>
      <w:r w:rsidR="00DD575D" w:rsidRPr="00DD575D">
        <w:t>7</w:t>
      </w:r>
      <w:proofErr w:type="gramEnd"/>
      <w:r w:rsidRPr="00E27AFB">
        <w:t xml:space="preserve"> </w:t>
      </w:r>
      <w:r w:rsidR="00DD575D">
        <w:t xml:space="preserve">completer </w:t>
      </w:r>
      <w:r w:rsidRPr="00E27AFB">
        <w:t>responses</w:t>
      </w:r>
      <w:r w:rsidR="00DD575D">
        <w:t xml:space="preserve"> with </w:t>
      </w:r>
      <w:r w:rsidRPr="00E27AFB">
        <w:t xml:space="preserve">a </w:t>
      </w:r>
      <w:r w:rsidR="00DD575D" w:rsidRPr="00DD575D">
        <w:t>38</w:t>
      </w:r>
      <w:r w:rsidRPr="00DD575D">
        <w:t>%</w:t>
      </w:r>
      <w:r w:rsidRPr="00E27AFB">
        <w:t xml:space="preserve"> return rate</w:t>
      </w:r>
      <w:r w:rsidR="00DD575D">
        <w:t xml:space="preserve"> and </w:t>
      </w:r>
      <w:proofErr w:type="gramStart"/>
      <w:r w:rsidR="00DD575D">
        <w:t>1</w:t>
      </w:r>
      <w:r w:rsidR="003C65E2">
        <w:t>4</w:t>
      </w:r>
      <w:proofErr w:type="gramEnd"/>
      <w:r w:rsidR="00DD575D">
        <w:t xml:space="preserve"> </w:t>
      </w:r>
      <w:r w:rsidR="00023B63">
        <w:t xml:space="preserve">employer </w:t>
      </w:r>
      <w:r w:rsidR="00DD575D">
        <w:t>responses with a 4</w:t>
      </w:r>
      <w:r w:rsidR="003C65E2">
        <w:t>3</w:t>
      </w:r>
      <w:r w:rsidR="00DD575D">
        <w:t>% return rate</w:t>
      </w:r>
      <w:r w:rsidRPr="00E27AFB">
        <w:t xml:space="preserve">. This provides a solid sample size </w:t>
      </w:r>
      <w:r w:rsidR="00822F69" w:rsidRPr="00E27AFB">
        <w:t>for</w:t>
      </w:r>
      <w:r w:rsidRPr="00E27AFB">
        <w:t xml:space="preserve"> completers </w:t>
      </w:r>
      <w:r w:rsidR="00023B63">
        <w:t xml:space="preserve">and employers </w:t>
      </w:r>
      <w:r w:rsidRPr="00E27AFB">
        <w:t xml:space="preserve">from 2023-2024. The chart below provides the survey results of the </w:t>
      </w:r>
      <w:proofErr w:type="gramStart"/>
      <w:r w:rsidRPr="00E27AFB">
        <w:t>15</w:t>
      </w:r>
      <w:proofErr w:type="gramEnd"/>
      <w:r w:rsidRPr="00E27AFB">
        <w:t xml:space="preserve"> </w:t>
      </w:r>
      <w:r w:rsidR="00D56C75">
        <w:t xml:space="preserve">impact </w:t>
      </w:r>
      <w:r w:rsidRPr="00E27AFB">
        <w:t xml:space="preserve">items that evaluate </w:t>
      </w:r>
      <w:r w:rsidR="00822F69" w:rsidRPr="00E27AFB">
        <w:t>the completer</w:t>
      </w:r>
      <w:r w:rsidRPr="00E27AFB">
        <w:t xml:space="preserve"> impact on P-12 student learning and growth for the </w:t>
      </w:r>
      <w:proofErr w:type="gramStart"/>
      <w:r w:rsidRPr="00E27AFB">
        <w:t>completers as a whole, regardless</w:t>
      </w:r>
      <w:proofErr w:type="gramEnd"/>
      <w:r w:rsidRPr="00E27AFB">
        <w:t xml:space="preserve"> of program.</w:t>
      </w:r>
    </w:p>
    <w:p w14:paraId="7DC29099" w14:textId="4D2D1168" w:rsidR="00E27AFB" w:rsidRDefault="00E27AFB" w:rsidP="00524EF0">
      <w:pPr>
        <w:spacing w:after="0"/>
        <w:rPr>
          <w:sz w:val="22"/>
          <w:szCs w:val="22"/>
        </w:rPr>
      </w:pPr>
    </w:p>
    <w:p w14:paraId="7FCC3EDE" w14:textId="4ED4B265" w:rsidR="00B8328A" w:rsidRDefault="00B8328A" w:rsidP="00B8328A">
      <w:pPr>
        <w:spacing w:after="0"/>
        <w:jc w:val="center"/>
        <w:rPr>
          <w:b/>
          <w:bCs/>
          <w:sz w:val="28"/>
          <w:szCs w:val="28"/>
        </w:rPr>
      </w:pPr>
      <w:r w:rsidRPr="00B8328A">
        <w:rPr>
          <w:b/>
          <w:bCs/>
          <w:sz w:val="28"/>
          <w:szCs w:val="28"/>
        </w:rPr>
        <w:t>Table 1. Completer Impact Survey Questions</w:t>
      </w:r>
    </w:p>
    <w:p w14:paraId="1A13F7AA" w14:textId="39A6A38A" w:rsidR="00EA3D8D" w:rsidRPr="00B8328A" w:rsidRDefault="00EA3D8D" w:rsidP="00EA3D8D">
      <w:pPr>
        <w:spacing w:after="0"/>
        <w:rPr>
          <w:b/>
          <w:bCs/>
          <w:sz w:val="28"/>
          <w:szCs w:val="28"/>
        </w:rPr>
      </w:pPr>
      <w:r w:rsidRPr="00E27AFB">
        <w:t xml:space="preserve">The </w:t>
      </w:r>
      <w:r w:rsidR="00822F69" w:rsidRPr="00E27AFB">
        <w:t xml:space="preserve">data </w:t>
      </w:r>
      <w:r w:rsidR="00822F69">
        <w:t>in</w:t>
      </w:r>
      <w:r>
        <w:t xml:space="preserve"> Table 1 </w:t>
      </w:r>
      <w:r w:rsidR="00822F69" w:rsidRPr="00E27AFB">
        <w:t>indicates</w:t>
      </w:r>
      <w:r w:rsidRPr="00E27AFB">
        <w:t xml:space="preserve"> that overall completers are effective in impacting the growth and development of their students. SurveyMonkey provides a weighted average for each item, based upon a 3-point scale (3.0=Strongly Agree, 2.0=Agree, 1.0=Disagree, 0.0=Strongly Disagree). The scale also includes “Not Applicable,” which </w:t>
      </w:r>
      <w:proofErr w:type="gramStart"/>
      <w:r w:rsidRPr="00E27AFB">
        <w:t>is not scored</w:t>
      </w:r>
      <w:proofErr w:type="gramEnd"/>
      <w:r w:rsidRPr="00E27AFB">
        <w:t xml:space="preserve"> in the weighted average.</w:t>
      </w:r>
    </w:p>
    <w:p w14:paraId="356BC04B" w14:textId="77777777" w:rsidR="00EA3D8D" w:rsidRDefault="00EA3D8D" w:rsidP="00747B71">
      <w:pPr>
        <w:spacing w:after="0"/>
        <w:rPr>
          <w:b/>
          <w:bCs/>
          <w:u w:val="single"/>
        </w:rPr>
      </w:pPr>
    </w:p>
    <w:p w14:paraId="14ABCEED" w14:textId="21CFA14D" w:rsidR="00747B71" w:rsidRPr="00C36675" w:rsidRDefault="00747B71" w:rsidP="00747B71">
      <w:pPr>
        <w:spacing w:after="0"/>
        <w:rPr>
          <w:b/>
          <w:bCs/>
          <w:u w:val="single"/>
        </w:rPr>
      </w:pPr>
      <w:r w:rsidRPr="00C36675">
        <w:rPr>
          <w:b/>
          <w:bCs/>
          <w:u w:val="single"/>
        </w:rPr>
        <w:t>Survey Scale</w:t>
      </w:r>
    </w:p>
    <w:p w14:paraId="1E2E1D16" w14:textId="77777777" w:rsidR="00747B71" w:rsidRPr="00C36675" w:rsidRDefault="00747B71" w:rsidP="00747B71">
      <w:pPr>
        <w:spacing w:after="0"/>
        <w:rPr>
          <w:sz w:val="20"/>
          <w:szCs w:val="20"/>
        </w:rPr>
      </w:pPr>
      <w:r w:rsidRPr="00C36675">
        <w:rPr>
          <w:sz w:val="20"/>
          <w:szCs w:val="20"/>
        </w:rPr>
        <w:t>Strongly Agree</w:t>
      </w:r>
    </w:p>
    <w:p w14:paraId="6A1E974D" w14:textId="77777777" w:rsidR="00747B71" w:rsidRPr="00C36675" w:rsidRDefault="00747B71" w:rsidP="00747B71">
      <w:pPr>
        <w:spacing w:after="0"/>
        <w:rPr>
          <w:sz w:val="20"/>
          <w:szCs w:val="20"/>
        </w:rPr>
      </w:pPr>
      <w:r w:rsidRPr="00C36675">
        <w:rPr>
          <w:sz w:val="20"/>
          <w:szCs w:val="20"/>
        </w:rPr>
        <w:t>Agree</w:t>
      </w:r>
    </w:p>
    <w:p w14:paraId="329F5BA9" w14:textId="77777777" w:rsidR="00747B71" w:rsidRPr="00C36675" w:rsidRDefault="00747B71" w:rsidP="00747B71">
      <w:pPr>
        <w:spacing w:after="0"/>
        <w:rPr>
          <w:sz w:val="20"/>
          <w:szCs w:val="20"/>
        </w:rPr>
      </w:pPr>
      <w:r w:rsidRPr="00C36675">
        <w:rPr>
          <w:sz w:val="20"/>
          <w:szCs w:val="20"/>
        </w:rPr>
        <w:t>Disagree</w:t>
      </w:r>
    </w:p>
    <w:p w14:paraId="268C3172" w14:textId="77777777" w:rsidR="00747B71" w:rsidRPr="00C36675" w:rsidRDefault="00747B71" w:rsidP="00747B71">
      <w:pPr>
        <w:spacing w:after="0"/>
        <w:rPr>
          <w:sz w:val="20"/>
          <w:szCs w:val="20"/>
        </w:rPr>
      </w:pPr>
      <w:r w:rsidRPr="00C36675">
        <w:rPr>
          <w:sz w:val="20"/>
          <w:szCs w:val="20"/>
        </w:rPr>
        <w:t>Strongly Disagree</w:t>
      </w:r>
    </w:p>
    <w:p w14:paraId="56F73EC3" w14:textId="7DD5151A" w:rsidR="001A1342" w:rsidRDefault="00F12B58" w:rsidP="00F12B58">
      <w:pPr>
        <w:spacing w:after="0"/>
      </w:pPr>
      <w:r>
        <w:tab/>
      </w:r>
      <w:r>
        <w:tab/>
      </w:r>
    </w:p>
    <w:p w14:paraId="3BC28767" w14:textId="55B5B270" w:rsidR="00F12B58" w:rsidRDefault="00051657" w:rsidP="00F12B58">
      <w:pPr>
        <w:spacing w:after="0"/>
      </w:pPr>
      <w:r>
        <w:t xml:space="preserve">Employer </w:t>
      </w:r>
      <w:r w:rsidR="00F12B58">
        <w:t>Re</w:t>
      </w:r>
      <w:r w:rsidR="00747B71">
        <w:t>sponse</w:t>
      </w:r>
      <w:r w:rsidR="00F12B58">
        <w:t xml:space="preserve"> Rate:</w:t>
      </w:r>
      <w:r w:rsidR="00023B63">
        <w:t xml:space="preserve"> 40%</w:t>
      </w:r>
    </w:p>
    <w:p w14:paraId="6984F879" w14:textId="6C109E93" w:rsidR="00051657" w:rsidRDefault="00051657" w:rsidP="00F12B58">
      <w:pPr>
        <w:spacing w:after="0"/>
      </w:pPr>
      <w:r>
        <w:t>Completer Response Rate:</w:t>
      </w:r>
      <w:r w:rsidR="00023B63">
        <w:t xml:space="preserve"> 38%</w:t>
      </w:r>
    </w:p>
    <w:p w14:paraId="098BAA32" w14:textId="0A19BA29" w:rsidR="00F12B58" w:rsidRDefault="00F12B58" w:rsidP="00F12B5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5"/>
        <w:gridCol w:w="1461"/>
        <w:gridCol w:w="1334"/>
      </w:tblGrid>
      <w:tr w:rsidR="00051657" w14:paraId="2FBF6D6E" w14:textId="22A26F2A" w:rsidTr="00051657">
        <w:trPr>
          <w:tblHeader/>
        </w:trPr>
        <w:tc>
          <w:tcPr>
            <w:tcW w:w="6555" w:type="dxa"/>
            <w:shd w:val="clear" w:color="auto" w:fill="D9D9D9" w:themeFill="background1" w:themeFillShade="D9"/>
          </w:tcPr>
          <w:p w14:paraId="698EFBA1" w14:textId="4CEE1D5C" w:rsidR="00051657" w:rsidRPr="00E27AFB" w:rsidRDefault="00051657" w:rsidP="00E27AFB">
            <w:pPr>
              <w:jc w:val="center"/>
              <w:rPr>
                <w:b/>
                <w:bCs/>
              </w:rPr>
            </w:pPr>
            <w:r w:rsidRPr="00E27AFB">
              <w:rPr>
                <w:b/>
                <w:bCs/>
              </w:rPr>
              <w:lastRenderedPageBreak/>
              <w:t>Questions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2D584E45" w14:textId="384E212B" w:rsidR="00051657" w:rsidRPr="00E27AFB" w:rsidRDefault="00051657" w:rsidP="00E27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Completer</w:t>
            </w:r>
            <w:r w:rsidR="00350E65">
              <w:rPr>
                <w:b/>
                <w:bCs/>
              </w:rPr>
              <w:t xml:space="preserve"> </w:t>
            </w:r>
            <w:r w:rsidR="00822F69">
              <w:rPr>
                <w:b/>
                <w:bCs/>
              </w:rPr>
              <w:t>Weighted Mean</w:t>
            </w:r>
            <w:r w:rsidRPr="00E27AFB">
              <w:rPr>
                <w:b/>
                <w:bCs/>
              </w:rPr>
              <w:t xml:space="preserve"> Score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47C99320" w14:textId="77777777" w:rsidR="00350E65" w:rsidRDefault="00051657" w:rsidP="00E27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  <w:p w14:paraId="4C8F618B" w14:textId="7608A8DA" w:rsidR="00051657" w:rsidRPr="00E27AFB" w:rsidRDefault="00350E65" w:rsidP="00E27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Weighted</w:t>
            </w:r>
            <w:r w:rsidR="00051657">
              <w:rPr>
                <w:b/>
                <w:bCs/>
              </w:rPr>
              <w:t xml:space="preserve"> Mean Score</w:t>
            </w:r>
          </w:p>
        </w:tc>
      </w:tr>
      <w:tr w:rsidR="00051657" w14:paraId="162D9932" w14:textId="339DEFAF" w:rsidTr="00051657">
        <w:tc>
          <w:tcPr>
            <w:tcW w:w="6555" w:type="dxa"/>
          </w:tcPr>
          <w:p w14:paraId="5DD5EFEC" w14:textId="7BA05340" w:rsidR="00051657" w:rsidRDefault="00051657">
            <w:r w:rsidRPr="00F12B58">
              <w:t>Understand how individual differences and diverse cultures impact student learning and classroom environments and use that information to design and deliver instruction</w:t>
            </w:r>
          </w:p>
        </w:tc>
        <w:tc>
          <w:tcPr>
            <w:tcW w:w="1461" w:type="dxa"/>
          </w:tcPr>
          <w:p w14:paraId="73621E34" w14:textId="41617306" w:rsidR="00051657" w:rsidRDefault="00023B63" w:rsidP="00160224">
            <w:pPr>
              <w:jc w:val="center"/>
            </w:pPr>
            <w:r w:rsidRPr="00160224">
              <w:t>2.59</w:t>
            </w:r>
          </w:p>
        </w:tc>
        <w:tc>
          <w:tcPr>
            <w:tcW w:w="1334" w:type="dxa"/>
          </w:tcPr>
          <w:p w14:paraId="4D00CC6A" w14:textId="556157B0" w:rsidR="00051657" w:rsidRDefault="00023B63" w:rsidP="00160224">
            <w:pPr>
              <w:jc w:val="center"/>
            </w:pPr>
            <w:r>
              <w:t>2.38</w:t>
            </w:r>
          </w:p>
        </w:tc>
      </w:tr>
      <w:tr w:rsidR="00051657" w14:paraId="721C8089" w14:textId="32AECF0F" w:rsidTr="00051657">
        <w:tc>
          <w:tcPr>
            <w:tcW w:w="6555" w:type="dxa"/>
          </w:tcPr>
          <w:p w14:paraId="6E5AC0A5" w14:textId="4D304345" w:rsidR="00051657" w:rsidRDefault="00051657">
            <w:r w:rsidRPr="00F12B58">
              <w:t>Plan and deliver differentiated instruction using a wide range of evidence-based instructional strategies, resources, and technological tools to meet the diverse learning needs of GIFTED STUDENTS</w:t>
            </w:r>
          </w:p>
        </w:tc>
        <w:tc>
          <w:tcPr>
            <w:tcW w:w="1461" w:type="dxa"/>
          </w:tcPr>
          <w:p w14:paraId="2A9D5D99" w14:textId="5BD852E2" w:rsidR="00051657" w:rsidRDefault="00023B63" w:rsidP="00160224">
            <w:pPr>
              <w:jc w:val="center"/>
            </w:pPr>
            <w:r w:rsidRPr="00350E65">
              <w:t>2.36</w:t>
            </w:r>
          </w:p>
        </w:tc>
        <w:tc>
          <w:tcPr>
            <w:tcW w:w="1334" w:type="dxa"/>
          </w:tcPr>
          <w:p w14:paraId="774A300A" w14:textId="10203099" w:rsidR="00051657" w:rsidRDefault="00023B63" w:rsidP="00160224">
            <w:pPr>
              <w:jc w:val="center"/>
            </w:pPr>
            <w:r w:rsidRPr="00337C5D">
              <w:t>2.18</w:t>
            </w:r>
          </w:p>
        </w:tc>
      </w:tr>
      <w:tr w:rsidR="00051657" w14:paraId="3F67C277" w14:textId="7421D54F" w:rsidTr="00051657">
        <w:tc>
          <w:tcPr>
            <w:tcW w:w="6555" w:type="dxa"/>
          </w:tcPr>
          <w:p w14:paraId="4A7BEC53" w14:textId="4100F18E" w:rsidR="00051657" w:rsidRDefault="00051657">
            <w:r w:rsidRPr="00F12B58">
              <w:t>Plan and deliver differentiated instruction using a wide range of evidence-based instructional strategies, resources, and technological tools to meet the diverse learning needs of STUDENTS WITH DISABILITIES</w:t>
            </w:r>
          </w:p>
        </w:tc>
        <w:tc>
          <w:tcPr>
            <w:tcW w:w="1461" w:type="dxa"/>
          </w:tcPr>
          <w:p w14:paraId="0F25FD01" w14:textId="004B2013" w:rsidR="00051657" w:rsidRDefault="00023B63" w:rsidP="00160224">
            <w:pPr>
              <w:jc w:val="center"/>
            </w:pPr>
            <w:r>
              <w:t>2.59</w:t>
            </w:r>
          </w:p>
        </w:tc>
        <w:tc>
          <w:tcPr>
            <w:tcW w:w="1334" w:type="dxa"/>
          </w:tcPr>
          <w:p w14:paraId="51012445" w14:textId="2C50A7A9" w:rsidR="00051657" w:rsidRDefault="00023B63" w:rsidP="00160224">
            <w:pPr>
              <w:jc w:val="center"/>
            </w:pPr>
            <w:r w:rsidRPr="00337C5D">
              <w:t>2.23</w:t>
            </w:r>
          </w:p>
        </w:tc>
      </w:tr>
      <w:tr w:rsidR="00051657" w14:paraId="3E2370C9" w14:textId="33D94C8D" w:rsidTr="00051657">
        <w:tc>
          <w:tcPr>
            <w:tcW w:w="6555" w:type="dxa"/>
          </w:tcPr>
          <w:p w14:paraId="0A9C246D" w14:textId="783EB497" w:rsidR="00051657" w:rsidRDefault="00051657">
            <w:r w:rsidRPr="00F12B58">
              <w:t>Plan and deliver differentiated instruction using a wide range of evidence-based instructional strategies, resources, and technological tools to meet the diverse learning needs of ENGLISH LANGUAGE LEARNERS</w:t>
            </w:r>
          </w:p>
        </w:tc>
        <w:tc>
          <w:tcPr>
            <w:tcW w:w="1461" w:type="dxa"/>
          </w:tcPr>
          <w:p w14:paraId="232E313B" w14:textId="178F1E87" w:rsidR="00051657" w:rsidRDefault="00023B63" w:rsidP="00160224">
            <w:pPr>
              <w:jc w:val="center"/>
            </w:pPr>
            <w:r w:rsidRPr="00350E65">
              <w:t>2.38</w:t>
            </w:r>
          </w:p>
        </w:tc>
        <w:tc>
          <w:tcPr>
            <w:tcW w:w="1334" w:type="dxa"/>
          </w:tcPr>
          <w:p w14:paraId="325A7CC3" w14:textId="1199CA2D" w:rsidR="00051657" w:rsidRDefault="00023B63" w:rsidP="00160224">
            <w:pPr>
              <w:jc w:val="center"/>
            </w:pPr>
            <w:r w:rsidRPr="00337C5D">
              <w:t>2.20</w:t>
            </w:r>
          </w:p>
        </w:tc>
      </w:tr>
      <w:tr w:rsidR="00051657" w14:paraId="518EFE8B" w14:textId="54711FE0" w:rsidTr="00051657">
        <w:tc>
          <w:tcPr>
            <w:tcW w:w="6555" w:type="dxa"/>
          </w:tcPr>
          <w:p w14:paraId="70AAAC61" w14:textId="55E8254E" w:rsidR="00051657" w:rsidRDefault="00051657">
            <w:r w:rsidRPr="00F12B58">
              <w:t>Plan and deliver differentiated instruction using a wide range of evidence-based instructional strategies, resources, and technological tools to meet the diverse learning needs of AT-RISK STUDENTS</w:t>
            </w:r>
          </w:p>
        </w:tc>
        <w:tc>
          <w:tcPr>
            <w:tcW w:w="1461" w:type="dxa"/>
          </w:tcPr>
          <w:p w14:paraId="5EA3EB84" w14:textId="6DEA283E" w:rsidR="00051657" w:rsidRDefault="00023B63" w:rsidP="00160224">
            <w:pPr>
              <w:jc w:val="center"/>
            </w:pPr>
            <w:r w:rsidRPr="00350E65">
              <w:t>2.41</w:t>
            </w:r>
          </w:p>
        </w:tc>
        <w:tc>
          <w:tcPr>
            <w:tcW w:w="1334" w:type="dxa"/>
          </w:tcPr>
          <w:p w14:paraId="12E0C8D1" w14:textId="53F6378D" w:rsidR="00051657" w:rsidRPr="00337C5D" w:rsidRDefault="00023B63" w:rsidP="00160224">
            <w:pPr>
              <w:jc w:val="center"/>
              <w:rPr>
                <w:highlight w:val="yellow"/>
              </w:rPr>
            </w:pPr>
            <w:r w:rsidRPr="00337C5D">
              <w:t>2.31</w:t>
            </w:r>
          </w:p>
        </w:tc>
      </w:tr>
      <w:tr w:rsidR="00051657" w14:paraId="6EF6718E" w14:textId="5484B7BE" w:rsidTr="00051657">
        <w:tc>
          <w:tcPr>
            <w:tcW w:w="6555" w:type="dxa"/>
          </w:tcPr>
          <w:p w14:paraId="75C8014B" w14:textId="34D06B8C" w:rsidR="00051657" w:rsidRDefault="00051657">
            <w:r w:rsidRPr="00F12B58">
              <w:t>Recognize student misconceptions and create experiences to build accurate conceptual understandings</w:t>
            </w:r>
          </w:p>
        </w:tc>
        <w:tc>
          <w:tcPr>
            <w:tcW w:w="1461" w:type="dxa"/>
          </w:tcPr>
          <w:p w14:paraId="14E6A28B" w14:textId="7413C3AC" w:rsidR="00051657" w:rsidRDefault="00023B63" w:rsidP="00160224">
            <w:pPr>
              <w:jc w:val="center"/>
            </w:pPr>
            <w:r w:rsidRPr="00160224">
              <w:t>2.65</w:t>
            </w:r>
          </w:p>
        </w:tc>
        <w:tc>
          <w:tcPr>
            <w:tcW w:w="1334" w:type="dxa"/>
          </w:tcPr>
          <w:p w14:paraId="0289C83F" w14:textId="2B65BB55" w:rsidR="00051657" w:rsidRPr="00337C5D" w:rsidRDefault="00023B63" w:rsidP="00160224">
            <w:pPr>
              <w:jc w:val="center"/>
              <w:rPr>
                <w:highlight w:val="yellow"/>
              </w:rPr>
            </w:pPr>
            <w:r w:rsidRPr="00337C5D">
              <w:t>2.31</w:t>
            </w:r>
          </w:p>
        </w:tc>
      </w:tr>
      <w:tr w:rsidR="00051657" w14:paraId="17C99775" w14:textId="7AD3D2A7" w:rsidTr="00051657">
        <w:tc>
          <w:tcPr>
            <w:tcW w:w="6555" w:type="dxa"/>
          </w:tcPr>
          <w:p w14:paraId="7F6F443A" w14:textId="0BA98C31" w:rsidR="00051657" w:rsidRDefault="00051657">
            <w:r w:rsidRPr="00F12B58">
              <w:t xml:space="preserve">Create opportunities for students to learn, practice, and </w:t>
            </w:r>
            <w:proofErr w:type="gramStart"/>
            <w:r w:rsidRPr="00F12B58">
              <w:t>master</w:t>
            </w:r>
            <w:proofErr w:type="gramEnd"/>
            <w:r w:rsidRPr="00F12B58">
              <w:t xml:space="preserve"> academic language</w:t>
            </w:r>
          </w:p>
        </w:tc>
        <w:tc>
          <w:tcPr>
            <w:tcW w:w="1461" w:type="dxa"/>
          </w:tcPr>
          <w:p w14:paraId="6A9957C9" w14:textId="702460BE" w:rsidR="00051657" w:rsidRDefault="00023B63" w:rsidP="00160224">
            <w:pPr>
              <w:jc w:val="center"/>
            </w:pPr>
            <w:r>
              <w:t>2.59</w:t>
            </w:r>
          </w:p>
        </w:tc>
        <w:tc>
          <w:tcPr>
            <w:tcW w:w="1334" w:type="dxa"/>
          </w:tcPr>
          <w:p w14:paraId="2B455299" w14:textId="60E4E720" w:rsidR="00051657" w:rsidRDefault="00023B63" w:rsidP="00160224">
            <w:pPr>
              <w:jc w:val="center"/>
            </w:pPr>
            <w:r w:rsidRPr="00337C5D">
              <w:t>2.54</w:t>
            </w:r>
          </w:p>
        </w:tc>
      </w:tr>
      <w:tr w:rsidR="00051657" w14:paraId="154408A2" w14:textId="1D7E80CA" w:rsidTr="00051657">
        <w:tc>
          <w:tcPr>
            <w:tcW w:w="6555" w:type="dxa"/>
          </w:tcPr>
          <w:p w14:paraId="2BC42A63" w14:textId="306A15D4" w:rsidR="00051657" w:rsidRDefault="00051657">
            <w:r w:rsidRPr="00F12B58">
              <w:t>Use academic language in a way that encourages learners to integrate content areas</w:t>
            </w:r>
          </w:p>
        </w:tc>
        <w:tc>
          <w:tcPr>
            <w:tcW w:w="1461" w:type="dxa"/>
          </w:tcPr>
          <w:p w14:paraId="1F9AEB5D" w14:textId="6437FDD3" w:rsidR="00051657" w:rsidRDefault="00023B63" w:rsidP="00160224">
            <w:pPr>
              <w:jc w:val="center"/>
            </w:pPr>
            <w:r>
              <w:t>2.56</w:t>
            </w:r>
          </w:p>
        </w:tc>
        <w:tc>
          <w:tcPr>
            <w:tcW w:w="1334" w:type="dxa"/>
          </w:tcPr>
          <w:p w14:paraId="191F8A9F" w14:textId="4807A74F" w:rsidR="00051657" w:rsidRDefault="00023B63" w:rsidP="00160224">
            <w:pPr>
              <w:jc w:val="center"/>
            </w:pPr>
            <w:r>
              <w:t>2.38</w:t>
            </w:r>
          </w:p>
        </w:tc>
      </w:tr>
      <w:tr w:rsidR="00051657" w14:paraId="7BD5404A" w14:textId="6A15A2F1" w:rsidTr="00051657">
        <w:tc>
          <w:tcPr>
            <w:tcW w:w="6555" w:type="dxa"/>
          </w:tcPr>
          <w:p w14:paraId="6E0BEB04" w14:textId="28E8AEAC" w:rsidR="00051657" w:rsidRDefault="00051657">
            <w:r w:rsidRPr="00F12B58">
              <w:t>Utilize strategies to create learning environments which engage students in individual and collaborative learning</w:t>
            </w:r>
          </w:p>
        </w:tc>
        <w:tc>
          <w:tcPr>
            <w:tcW w:w="1461" w:type="dxa"/>
          </w:tcPr>
          <w:p w14:paraId="5A43F32F" w14:textId="1AB96EB2" w:rsidR="00051657" w:rsidRDefault="00023B63" w:rsidP="00160224">
            <w:pPr>
              <w:jc w:val="center"/>
            </w:pPr>
            <w:r w:rsidRPr="00160224">
              <w:t>2.63</w:t>
            </w:r>
          </w:p>
        </w:tc>
        <w:tc>
          <w:tcPr>
            <w:tcW w:w="1334" w:type="dxa"/>
          </w:tcPr>
          <w:p w14:paraId="5B18E5B2" w14:textId="2A45D95F" w:rsidR="00051657" w:rsidRDefault="00023B63" w:rsidP="00160224">
            <w:pPr>
              <w:jc w:val="center"/>
            </w:pPr>
            <w:r w:rsidRPr="00337C5D">
              <w:t>2.46</w:t>
            </w:r>
          </w:p>
        </w:tc>
      </w:tr>
      <w:tr w:rsidR="00051657" w14:paraId="769EDE10" w14:textId="6530B7F3" w:rsidTr="00051657">
        <w:tc>
          <w:tcPr>
            <w:tcW w:w="6555" w:type="dxa"/>
          </w:tcPr>
          <w:p w14:paraId="3F105E81" w14:textId="317E1754" w:rsidR="00051657" w:rsidRDefault="00051657">
            <w:r w:rsidRPr="00F12B58">
              <w:t>Engage learners in understanding, questioning, analyzing ideas and content from diverse perspectives</w:t>
            </w:r>
          </w:p>
        </w:tc>
        <w:tc>
          <w:tcPr>
            <w:tcW w:w="1461" w:type="dxa"/>
          </w:tcPr>
          <w:p w14:paraId="72064C02" w14:textId="524A030F" w:rsidR="00051657" w:rsidRDefault="00023B63" w:rsidP="00160224">
            <w:pPr>
              <w:jc w:val="center"/>
            </w:pPr>
            <w:r w:rsidRPr="00160224">
              <w:t>2.69</w:t>
            </w:r>
          </w:p>
        </w:tc>
        <w:tc>
          <w:tcPr>
            <w:tcW w:w="1334" w:type="dxa"/>
          </w:tcPr>
          <w:p w14:paraId="190DE0C3" w14:textId="6B857550" w:rsidR="00051657" w:rsidRDefault="00023B63" w:rsidP="00160224">
            <w:pPr>
              <w:jc w:val="center"/>
            </w:pPr>
            <w:r>
              <w:t>2.31</w:t>
            </w:r>
          </w:p>
        </w:tc>
      </w:tr>
      <w:tr w:rsidR="00051657" w14:paraId="6FC1FE7F" w14:textId="44745981" w:rsidTr="00051657">
        <w:tc>
          <w:tcPr>
            <w:tcW w:w="6555" w:type="dxa"/>
          </w:tcPr>
          <w:p w14:paraId="47B9F709" w14:textId="49FB88A7" w:rsidR="00051657" w:rsidRDefault="00051657">
            <w:proofErr w:type="gramStart"/>
            <w:r w:rsidRPr="00F12B58">
              <w:t>Develop</w:t>
            </w:r>
            <w:r>
              <w:t>s</w:t>
            </w:r>
            <w:r w:rsidRPr="00F12B58">
              <w:t xml:space="preserve"> supports</w:t>
            </w:r>
            <w:proofErr w:type="gramEnd"/>
            <w:r w:rsidRPr="00F12B58">
              <w:t xml:space="preserve"> for literacy development across content areas</w:t>
            </w:r>
          </w:p>
        </w:tc>
        <w:tc>
          <w:tcPr>
            <w:tcW w:w="1461" w:type="dxa"/>
          </w:tcPr>
          <w:p w14:paraId="4446EB69" w14:textId="0195FFC7" w:rsidR="00051657" w:rsidRDefault="00023B63" w:rsidP="00160224">
            <w:pPr>
              <w:jc w:val="center"/>
            </w:pPr>
            <w:r w:rsidRPr="00350E65">
              <w:t>2.38</w:t>
            </w:r>
          </w:p>
        </w:tc>
        <w:tc>
          <w:tcPr>
            <w:tcW w:w="1334" w:type="dxa"/>
          </w:tcPr>
          <w:p w14:paraId="3E9A7A56" w14:textId="6428D563" w:rsidR="00051657" w:rsidRDefault="00023B63" w:rsidP="00160224">
            <w:pPr>
              <w:jc w:val="center"/>
            </w:pPr>
            <w:r>
              <w:t>2.38</w:t>
            </w:r>
          </w:p>
        </w:tc>
      </w:tr>
      <w:tr w:rsidR="00051657" w14:paraId="6AEE8E25" w14:textId="4754123A" w:rsidTr="00051657">
        <w:tc>
          <w:tcPr>
            <w:tcW w:w="6555" w:type="dxa"/>
          </w:tcPr>
          <w:p w14:paraId="004D48CC" w14:textId="722C6BAC" w:rsidR="00051657" w:rsidRDefault="00051657">
            <w:r w:rsidRPr="00F12B58">
              <w:t>Seek appropriate ways to integrate technology to support assessment practice and to assess learner needs</w:t>
            </w:r>
          </w:p>
        </w:tc>
        <w:tc>
          <w:tcPr>
            <w:tcW w:w="1461" w:type="dxa"/>
          </w:tcPr>
          <w:p w14:paraId="2FEE7AEC" w14:textId="20F163F6" w:rsidR="00051657" w:rsidRDefault="00023B63" w:rsidP="00160224">
            <w:pPr>
              <w:jc w:val="center"/>
            </w:pPr>
            <w:r>
              <w:t>2.63</w:t>
            </w:r>
          </w:p>
        </w:tc>
        <w:tc>
          <w:tcPr>
            <w:tcW w:w="1334" w:type="dxa"/>
          </w:tcPr>
          <w:p w14:paraId="7F4C24DE" w14:textId="6B1236D0" w:rsidR="00051657" w:rsidRDefault="00023B63" w:rsidP="00160224">
            <w:pPr>
              <w:jc w:val="center"/>
            </w:pPr>
            <w:r>
              <w:t>2.31</w:t>
            </w:r>
          </w:p>
        </w:tc>
      </w:tr>
      <w:tr w:rsidR="00051657" w14:paraId="0E7B2AB9" w14:textId="272F44C6" w:rsidTr="00051657">
        <w:tc>
          <w:tcPr>
            <w:tcW w:w="6555" w:type="dxa"/>
          </w:tcPr>
          <w:p w14:paraId="5CD00492" w14:textId="278051F0" w:rsidR="00051657" w:rsidRDefault="00051657">
            <w:r w:rsidRPr="00F12B58">
              <w:t>Use formative and summative data to adjust instruction to enhance learning</w:t>
            </w:r>
          </w:p>
        </w:tc>
        <w:tc>
          <w:tcPr>
            <w:tcW w:w="1461" w:type="dxa"/>
          </w:tcPr>
          <w:p w14:paraId="334C3ADE" w14:textId="7D3CA2D1" w:rsidR="00051657" w:rsidRDefault="00023B63" w:rsidP="00160224">
            <w:pPr>
              <w:jc w:val="center"/>
            </w:pPr>
            <w:r w:rsidRPr="00160224">
              <w:t>2.69</w:t>
            </w:r>
          </w:p>
        </w:tc>
        <w:tc>
          <w:tcPr>
            <w:tcW w:w="1334" w:type="dxa"/>
          </w:tcPr>
          <w:p w14:paraId="5B6E179A" w14:textId="0476FF22" w:rsidR="00051657" w:rsidRDefault="00023B63" w:rsidP="00160224">
            <w:pPr>
              <w:jc w:val="center"/>
            </w:pPr>
            <w:r>
              <w:t>2.38</w:t>
            </w:r>
          </w:p>
        </w:tc>
      </w:tr>
      <w:tr w:rsidR="00051657" w14:paraId="3189B66E" w14:textId="298C4736" w:rsidTr="00051657">
        <w:tc>
          <w:tcPr>
            <w:tcW w:w="6555" w:type="dxa"/>
          </w:tcPr>
          <w:p w14:paraId="2622A70B" w14:textId="0E1CF7DC" w:rsidR="00051657" w:rsidRDefault="00051657">
            <w:r w:rsidRPr="00F12B58">
              <w:t>Align instructional goals and activities with state and district performance standards</w:t>
            </w:r>
          </w:p>
        </w:tc>
        <w:tc>
          <w:tcPr>
            <w:tcW w:w="1461" w:type="dxa"/>
          </w:tcPr>
          <w:p w14:paraId="1A6F0E71" w14:textId="21516405" w:rsidR="00051657" w:rsidRDefault="00023B63" w:rsidP="00160224">
            <w:pPr>
              <w:jc w:val="center"/>
            </w:pPr>
            <w:r>
              <w:t>2.50</w:t>
            </w:r>
          </w:p>
        </w:tc>
        <w:tc>
          <w:tcPr>
            <w:tcW w:w="1334" w:type="dxa"/>
          </w:tcPr>
          <w:p w14:paraId="0594BB69" w14:textId="5CD581B4" w:rsidR="00051657" w:rsidRPr="00337C5D" w:rsidRDefault="00023B63" w:rsidP="00160224">
            <w:pPr>
              <w:jc w:val="center"/>
            </w:pPr>
            <w:r w:rsidRPr="00337C5D">
              <w:t>2.46</w:t>
            </w:r>
          </w:p>
        </w:tc>
      </w:tr>
      <w:tr w:rsidR="00051657" w14:paraId="74F3888E" w14:textId="35E667FD" w:rsidTr="00051657">
        <w:tc>
          <w:tcPr>
            <w:tcW w:w="6555" w:type="dxa"/>
          </w:tcPr>
          <w:p w14:paraId="0B286857" w14:textId="58A4552B" w:rsidR="00051657" w:rsidRDefault="00051657">
            <w:r w:rsidRPr="00F12B58">
              <w:t>Use ongoing analysis and reflection to improve planning and practice</w:t>
            </w:r>
          </w:p>
        </w:tc>
        <w:tc>
          <w:tcPr>
            <w:tcW w:w="1461" w:type="dxa"/>
          </w:tcPr>
          <w:p w14:paraId="283784EF" w14:textId="2952EBFA" w:rsidR="00051657" w:rsidRDefault="00023B63" w:rsidP="00160224">
            <w:pPr>
              <w:jc w:val="center"/>
            </w:pPr>
            <w:r>
              <w:t>2.53</w:t>
            </w:r>
          </w:p>
        </w:tc>
        <w:tc>
          <w:tcPr>
            <w:tcW w:w="1334" w:type="dxa"/>
          </w:tcPr>
          <w:p w14:paraId="63301B44" w14:textId="17E78B43" w:rsidR="00051657" w:rsidRPr="00337C5D" w:rsidRDefault="00023B63" w:rsidP="00160224">
            <w:pPr>
              <w:jc w:val="center"/>
            </w:pPr>
            <w:r w:rsidRPr="00337C5D">
              <w:t>2.46</w:t>
            </w:r>
          </w:p>
        </w:tc>
      </w:tr>
    </w:tbl>
    <w:p w14:paraId="73250693" w14:textId="77777777" w:rsidR="00F12B58" w:rsidRDefault="00F12B58"/>
    <w:p w14:paraId="18A9F3F1" w14:textId="77777777" w:rsidR="00DD575D" w:rsidRPr="00E27AFB" w:rsidRDefault="00DD575D" w:rsidP="00DD575D">
      <w:pPr>
        <w:spacing w:after="0"/>
        <w:rPr>
          <w:b/>
          <w:bCs/>
        </w:rPr>
      </w:pPr>
      <w:r w:rsidRPr="00E27AFB">
        <w:rPr>
          <w:b/>
          <w:bCs/>
        </w:rPr>
        <w:t>Analysis</w:t>
      </w:r>
    </w:p>
    <w:p w14:paraId="4B00213E" w14:textId="163FDED7" w:rsidR="00DD575D" w:rsidRDefault="00DD575D" w:rsidP="00DD575D">
      <w:pPr>
        <w:spacing w:after="0"/>
      </w:pPr>
      <w:r w:rsidRPr="00E27AFB">
        <w:t>Using this scale with averages provided in parentheses</w:t>
      </w:r>
      <w:r w:rsidR="00EA3D8D">
        <w:t xml:space="preserve"> in Table 1</w:t>
      </w:r>
      <w:r w:rsidRPr="00E27AFB">
        <w:t xml:space="preserve">, it is evident that completers </w:t>
      </w:r>
      <w:r w:rsidR="00EA3D8D">
        <w:t xml:space="preserve">had the highest impact </w:t>
      </w:r>
      <w:r w:rsidRPr="00E27AFB">
        <w:t>in the following areas:</w:t>
      </w:r>
    </w:p>
    <w:p w14:paraId="56375FEA" w14:textId="77777777" w:rsidR="00B8328A" w:rsidRDefault="00B8328A" w:rsidP="00DD575D">
      <w:pPr>
        <w:spacing w:after="0"/>
      </w:pPr>
    </w:p>
    <w:p w14:paraId="0C0D8E16" w14:textId="76B3910B" w:rsidR="00B8328A" w:rsidRPr="00B8328A" w:rsidRDefault="00B8328A" w:rsidP="00B8328A">
      <w:pPr>
        <w:spacing w:after="0"/>
        <w:jc w:val="center"/>
        <w:rPr>
          <w:b/>
          <w:bCs/>
        </w:rPr>
      </w:pPr>
      <w:r w:rsidRPr="00B8328A">
        <w:rPr>
          <w:b/>
          <w:bCs/>
        </w:rPr>
        <w:t>Table 2. Complete and Employer Effectiveness Responses: High Areas</w:t>
      </w:r>
    </w:p>
    <w:p w14:paraId="790EB105" w14:textId="77777777" w:rsidR="00350E65" w:rsidRDefault="00350E65" w:rsidP="00DD575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0E65" w14:paraId="1B70E67F" w14:textId="77777777" w:rsidTr="00350E65">
        <w:tc>
          <w:tcPr>
            <w:tcW w:w="4675" w:type="dxa"/>
            <w:shd w:val="clear" w:color="auto" w:fill="D9D9D9" w:themeFill="background1" w:themeFillShade="D9"/>
          </w:tcPr>
          <w:p w14:paraId="40E48727" w14:textId="391FC5B5" w:rsidR="00350E65" w:rsidRDefault="00350E65" w:rsidP="00350E65">
            <w:pPr>
              <w:jc w:val="center"/>
            </w:pPr>
            <w:r>
              <w:t>Completers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A21BD89" w14:textId="054340E0" w:rsidR="00350E65" w:rsidRDefault="00350E65" w:rsidP="00350E65">
            <w:pPr>
              <w:jc w:val="center"/>
            </w:pPr>
            <w:r>
              <w:t>Employers</w:t>
            </w:r>
          </w:p>
        </w:tc>
      </w:tr>
      <w:tr w:rsidR="00350E65" w14:paraId="08914EEB" w14:textId="77777777" w:rsidTr="00337C5D">
        <w:trPr>
          <w:trHeight w:val="7010"/>
        </w:trPr>
        <w:tc>
          <w:tcPr>
            <w:tcW w:w="4675" w:type="dxa"/>
          </w:tcPr>
          <w:p w14:paraId="6D0803BB" w14:textId="77777777" w:rsidR="00350E65" w:rsidRDefault="00350E65" w:rsidP="00350E65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 w:rsidRPr="00F12B58">
              <w:t>Use formative and summative data to adjust instruction to enhance learning</w:t>
            </w:r>
            <w:r>
              <w:t xml:space="preserve"> (2.69)</w:t>
            </w:r>
          </w:p>
          <w:p w14:paraId="6783FEDD" w14:textId="77777777" w:rsidR="00350E65" w:rsidRDefault="00350E65" w:rsidP="00350E65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 w:rsidRPr="00F12B58">
              <w:t>Engage learners in understanding, questioning, analyzing ideas and content from diverse perspectives</w:t>
            </w:r>
            <w:r>
              <w:t xml:space="preserve"> (2.69)</w:t>
            </w:r>
          </w:p>
          <w:p w14:paraId="4DD54DB5" w14:textId="77777777" w:rsidR="00350E65" w:rsidRDefault="00350E65" w:rsidP="00350E65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 w:rsidRPr="00F12B58">
              <w:t>Recognize student misconceptions and create experiences to build accurate conceptual understandings</w:t>
            </w:r>
            <w:r>
              <w:t xml:space="preserve"> (2.65)</w:t>
            </w:r>
          </w:p>
          <w:p w14:paraId="0B130867" w14:textId="77777777" w:rsidR="00350E65" w:rsidRDefault="00350E65" w:rsidP="00350E65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 w:rsidRPr="00F12B58">
              <w:t>Utilize strategies to create learning environments which engage students in individual and collaborative learning</w:t>
            </w:r>
            <w:r>
              <w:t xml:space="preserve"> (2.63)</w:t>
            </w:r>
          </w:p>
          <w:p w14:paraId="7435FD41" w14:textId="77777777" w:rsidR="00350E65" w:rsidRDefault="00350E65" w:rsidP="00350E65">
            <w:pPr>
              <w:pStyle w:val="ListParagraph"/>
              <w:numPr>
                <w:ilvl w:val="0"/>
                <w:numId w:val="2"/>
              </w:numPr>
            </w:pPr>
            <w:r w:rsidRPr="00F12B58">
              <w:t>Understand how individual differences and diverse cultures impact student learning and classroom environments and use that information to design and deliver instruction</w:t>
            </w:r>
            <w:r>
              <w:t xml:space="preserve"> (2.59)</w:t>
            </w:r>
          </w:p>
          <w:p w14:paraId="56419C66" w14:textId="77777777" w:rsidR="00350E65" w:rsidRPr="00E27AFB" w:rsidRDefault="00350E65" w:rsidP="00350E65">
            <w:pPr>
              <w:pStyle w:val="ListParagraph"/>
            </w:pPr>
          </w:p>
          <w:p w14:paraId="554752AE" w14:textId="77777777" w:rsidR="00350E65" w:rsidRDefault="00350E65" w:rsidP="00DD575D"/>
        </w:tc>
        <w:tc>
          <w:tcPr>
            <w:tcW w:w="4675" w:type="dxa"/>
          </w:tcPr>
          <w:p w14:paraId="22311946" w14:textId="77777777" w:rsidR="00350E65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 xml:space="preserve">Create opportunities for students to learn, practice, and </w:t>
            </w:r>
            <w:proofErr w:type="gramStart"/>
            <w:r w:rsidRPr="00F12B58">
              <w:t>master</w:t>
            </w:r>
            <w:proofErr w:type="gramEnd"/>
            <w:r w:rsidRPr="00F12B58">
              <w:t xml:space="preserve"> academic language</w:t>
            </w:r>
            <w:r>
              <w:t xml:space="preserve"> (2.54)</w:t>
            </w:r>
          </w:p>
          <w:p w14:paraId="6F043DFA" w14:textId="77777777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>Utilize strategies to create learning environments which engage students in individual and collaborative learning</w:t>
            </w:r>
            <w:r>
              <w:t xml:space="preserve"> (2.46)</w:t>
            </w:r>
          </w:p>
          <w:p w14:paraId="461ACC10" w14:textId="77777777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>Align instructional goals and activities with state and district performance standards</w:t>
            </w:r>
            <w:r>
              <w:t xml:space="preserve"> (2.46)</w:t>
            </w:r>
          </w:p>
          <w:p w14:paraId="357B2E7E" w14:textId="77777777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>Use ongoing analysis and reflection to improve planning and practice</w:t>
            </w:r>
            <w:r>
              <w:t xml:space="preserve"> (2.46)</w:t>
            </w:r>
          </w:p>
          <w:p w14:paraId="022E6D4F" w14:textId="77777777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F12B58">
              <w:t>Develop</w:t>
            </w:r>
            <w:r>
              <w:t>s</w:t>
            </w:r>
            <w:proofErr w:type="gramEnd"/>
            <w:r w:rsidRPr="00F12B58">
              <w:t xml:space="preserve"> supports for literacy development across content areas</w:t>
            </w:r>
            <w:r>
              <w:t xml:space="preserve"> (2.38)</w:t>
            </w:r>
          </w:p>
          <w:p w14:paraId="4B5B0E4B" w14:textId="77777777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>Use formative and summative data to adjust instruction to enhance learning</w:t>
            </w:r>
            <w:r>
              <w:t xml:space="preserve"> (2.38)</w:t>
            </w:r>
          </w:p>
          <w:p w14:paraId="44279FA9" w14:textId="77777777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>Use academic language in a way that encourages learners to integrate content areas</w:t>
            </w:r>
            <w:r>
              <w:t xml:space="preserve"> (2.38)</w:t>
            </w:r>
          </w:p>
          <w:p w14:paraId="2C3BAE0F" w14:textId="6368947A" w:rsidR="00337C5D" w:rsidRDefault="00337C5D" w:rsidP="00337C5D">
            <w:pPr>
              <w:pStyle w:val="ListParagraph"/>
              <w:numPr>
                <w:ilvl w:val="0"/>
                <w:numId w:val="2"/>
              </w:numPr>
            </w:pPr>
            <w:r w:rsidRPr="00F12B58">
              <w:t>Understand how individual differences and diverse cultures impact student learning and classroom environments and use that information to design and deliver instruction</w:t>
            </w:r>
            <w:r>
              <w:t xml:space="preserve"> (2.38)</w:t>
            </w:r>
          </w:p>
        </w:tc>
      </w:tr>
    </w:tbl>
    <w:p w14:paraId="127D4BC9" w14:textId="77777777" w:rsidR="00EA3D8D" w:rsidRDefault="00EA3D8D" w:rsidP="00DD575D">
      <w:pPr>
        <w:spacing w:after="0"/>
      </w:pPr>
    </w:p>
    <w:p w14:paraId="27CA321F" w14:textId="77777777" w:rsidR="00EA3D8D" w:rsidRDefault="00EA3D8D" w:rsidP="00DD575D">
      <w:pPr>
        <w:spacing w:after="0"/>
      </w:pPr>
    </w:p>
    <w:p w14:paraId="6A1C27DD" w14:textId="77777777" w:rsidR="00EA3D8D" w:rsidRDefault="00EA3D8D" w:rsidP="00DD575D">
      <w:pPr>
        <w:spacing w:after="0"/>
      </w:pPr>
    </w:p>
    <w:p w14:paraId="01577ED5" w14:textId="77777777" w:rsidR="00EA3D8D" w:rsidRDefault="00EA3D8D" w:rsidP="00DD575D">
      <w:pPr>
        <w:spacing w:after="0"/>
      </w:pPr>
    </w:p>
    <w:p w14:paraId="56B275EC" w14:textId="0F899DCD" w:rsidR="00DD575D" w:rsidRDefault="00EA3D8D" w:rsidP="00DD575D">
      <w:pPr>
        <w:spacing w:after="0"/>
      </w:pPr>
      <w:r>
        <w:lastRenderedPageBreak/>
        <w:t>Additionally, t</w:t>
      </w:r>
      <w:r w:rsidR="00DD575D" w:rsidRPr="00E27AFB">
        <w:t xml:space="preserve">he data </w:t>
      </w:r>
      <w:r>
        <w:t>in Table 3</w:t>
      </w:r>
      <w:r w:rsidR="00DD575D" w:rsidRPr="00E27AFB">
        <w:t xml:space="preserve"> indicate areas where the EPP could improve instruction and support</w:t>
      </w:r>
      <w:r>
        <w:t xml:space="preserve"> for more impact on P-12 students</w:t>
      </w:r>
      <w:r w:rsidR="00DD575D" w:rsidRPr="00E27AFB">
        <w:t xml:space="preserve">. Based again on the weighted averages provided by SurveyMonkey, found in the parentheses, the EPP </w:t>
      </w:r>
      <w:r w:rsidR="000C30B9">
        <w:t>continues</w:t>
      </w:r>
      <w:r w:rsidR="00DD575D" w:rsidRPr="00E27AFB">
        <w:t xml:space="preserve"> to address how it prepares teachers to do the following:</w:t>
      </w:r>
    </w:p>
    <w:p w14:paraId="486BCB7B" w14:textId="77777777" w:rsidR="00350E65" w:rsidRDefault="00350E65" w:rsidP="00DD575D">
      <w:pPr>
        <w:spacing w:after="0"/>
      </w:pPr>
    </w:p>
    <w:p w14:paraId="0357D2A9" w14:textId="5E52B596" w:rsidR="00B8328A" w:rsidRPr="00B8328A" w:rsidRDefault="00B8328A" w:rsidP="00B8328A">
      <w:pPr>
        <w:spacing w:after="0"/>
        <w:jc w:val="center"/>
        <w:rPr>
          <w:b/>
          <w:bCs/>
        </w:rPr>
      </w:pPr>
      <w:r w:rsidRPr="00B8328A">
        <w:rPr>
          <w:b/>
          <w:bCs/>
        </w:rPr>
        <w:t xml:space="preserve">Table </w:t>
      </w:r>
      <w:r>
        <w:rPr>
          <w:b/>
          <w:bCs/>
        </w:rPr>
        <w:t>3</w:t>
      </w:r>
      <w:r w:rsidRPr="00B8328A">
        <w:rPr>
          <w:b/>
          <w:bCs/>
        </w:rPr>
        <w:t xml:space="preserve">. Complete and Employer Effectiveness Responses: </w:t>
      </w:r>
      <w:r>
        <w:rPr>
          <w:b/>
          <w:bCs/>
        </w:rPr>
        <w:t>Continuous Improvement</w:t>
      </w:r>
    </w:p>
    <w:p w14:paraId="5250BE43" w14:textId="77777777" w:rsidR="00160224" w:rsidRDefault="00160224" w:rsidP="00DD575D">
      <w:pPr>
        <w:spacing w:after="0"/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350E65" w14:paraId="783FE735" w14:textId="77777777" w:rsidTr="00337C5D">
        <w:trPr>
          <w:trHeight w:val="304"/>
        </w:trPr>
        <w:tc>
          <w:tcPr>
            <w:tcW w:w="4742" w:type="dxa"/>
            <w:shd w:val="clear" w:color="auto" w:fill="D9D9D9" w:themeFill="background1" w:themeFillShade="D9"/>
          </w:tcPr>
          <w:p w14:paraId="56EAF11C" w14:textId="77286413" w:rsidR="00350E65" w:rsidRDefault="00350E65" w:rsidP="00350E65">
            <w:pPr>
              <w:jc w:val="center"/>
            </w:pPr>
            <w:r>
              <w:t>Completers</w:t>
            </w:r>
          </w:p>
        </w:tc>
        <w:tc>
          <w:tcPr>
            <w:tcW w:w="4742" w:type="dxa"/>
            <w:shd w:val="clear" w:color="auto" w:fill="D9D9D9" w:themeFill="background1" w:themeFillShade="D9"/>
          </w:tcPr>
          <w:p w14:paraId="0E309139" w14:textId="226CB5A2" w:rsidR="00350E65" w:rsidRDefault="00350E65" w:rsidP="00350E65">
            <w:pPr>
              <w:jc w:val="center"/>
            </w:pPr>
            <w:r>
              <w:t>Employers</w:t>
            </w:r>
          </w:p>
        </w:tc>
      </w:tr>
      <w:tr w:rsidR="00350E65" w14:paraId="7C1CD0A4" w14:textId="77777777" w:rsidTr="00337C5D">
        <w:trPr>
          <w:trHeight w:val="8213"/>
        </w:trPr>
        <w:tc>
          <w:tcPr>
            <w:tcW w:w="4742" w:type="dxa"/>
          </w:tcPr>
          <w:p w14:paraId="650F4110" w14:textId="77777777" w:rsidR="00350E65" w:rsidRDefault="00350E65" w:rsidP="00350E65">
            <w:pPr>
              <w:pStyle w:val="ListParagraph"/>
              <w:numPr>
                <w:ilvl w:val="0"/>
                <w:numId w:val="1"/>
              </w:numPr>
            </w:pPr>
            <w:r w:rsidRPr="00F12B58">
              <w:t>Plan and deliver differentiated instruction using a wide range of evidence-based instructional strategies, resources, and technological tools to meet the diverse learning needs of AT-RISK STUDENTS</w:t>
            </w:r>
            <w:r>
              <w:t xml:space="preserve"> (2.41)</w:t>
            </w:r>
          </w:p>
          <w:p w14:paraId="153FEF3D" w14:textId="77777777" w:rsidR="00350E65" w:rsidRDefault="00350E65" w:rsidP="00350E65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F12B58">
              <w:t>Develop</w:t>
            </w:r>
            <w:r>
              <w:t>s</w:t>
            </w:r>
            <w:proofErr w:type="gramEnd"/>
            <w:r w:rsidRPr="00F12B58">
              <w:t xml:space="preserve"> supports for literacy development across content areas</w:t>
            </w:r>
            <w:r>
              <w:t xml:space="preserve"> (2.38)</w:t>
            </w:r>
          </w:p>
          <w:p w14:paraId="50C9A444" w14:textId="77777777" w:rsidR="00350E65" w:rsidRPr="00E27AFB" w:rsidRDefault="00350E65" w:rsidP="00350E65">
            <w:pPr>
              <w:pStyle w:val="ListParagraph"/>
              <w:numPr>
                <w:ilvl w:val="0"/>
                <w:numId w:val="1"/>
              </w:numPr>
            </w:pPr>
            <w:r w:rsidRPr="00F12B58">
              <w:t>Plan and deliver differentiated instruction using a wide range of evidence-based instructional strategies, resources, and technological tools to meet the diverse learning needs of ENGLISH LANGUAGE LEARNERS</w:t>
            </w:r>
            <w:r>
              <w:t xml:space="preserve"> (2.38)</w:t>
            </w:r>
          </w:p>
          <w:p w14:paraId="4695E29A" w14:textId="77777777" w:rsidR="00350E65" w:rsidRDefault="00350E65" w:rsidP="00DD575D"/>
        </w:tc>
        <w:tc>
          <w:tcPr>
            <w:tcW w:w="4742" w:type="dxa"/>
          </w:tcPr>
          <w:p w14:paraId="786B0D42" w14:textId="77777777" w:rsidR="00350E65" w:rsidRDefault="00337C5D" w:rsidP="00337C5D">
            <w:pPr>
              <w:pStyle w:val="ListParagraph"/>
              <w:numPr>
                <w:ilvl w:val="0"/>
                <w:numId w:val="1"/>
              </w:numPr>
            </w:pPr>
            <w:r w:rsidRPr="00F12B58">
              <w:t>Recognize student misconceptions and create experiences to build accurate conceptual understandings</w:t>
            </w:r>
            <w:r>
              <w:t xml:space="preserve"> (2.31)</w:t>
            </w:r>
          </w:p>
          <w:p w14:paraId="380A9C3B" w14:textId="77777777" w:rsidR="00337C5D" w:rsidRDefault="00337C5D" w:rsidP="00337C5D">
            <w:pPr>
              <w:pStyle w:val="ListParagraph"/>
              <w:numPr>
                <w:ilvl w:val="0"/>
                <w:numId w:val="1"/>
              </w:numPr>
            </w:pPr>
            <w:r w:rsidRPr="00F12B58">
              <w:t>Plan and deliver differentiated instruction using a wide range of evidence-based instructional strategies, resources, and technological tools to meet the diverse learning needs of AT-RISK STUDENTS</w:t>
            </w:r>
            <w:r>
              <w:t xml:space="preserve"> (2.31)</w:t>
            </w:r>
          </w:p>
          <w:p w14:paraId="0BE68677" w14:textId="497BB921" w:rsidR="00337C5D" w:rsidRDefault="00337C5D" w:rsidP="00337C5D">
            <w:pPr>
              <w:pStyle w:val="ListParagraph"/>
              <w:numPr>
                <w:ilvl w:val="0"/>
                <w:numId w:val="1"/>
              </w:numPr>
            </w:pPr>
            <w:r w:rsidRPr="00F12B58">
              <w:t>Plan and deliver differentiated instruction using a wide range of evidence-based instructional strategies, resources, and technological tools to meet the diverse learning needs of STUDENTS WITH DISABILITIES</w:t>
            </w:r>
            <w:r>
              <w:t xml:space="preserve"> (2.23)</w:t>
            </w:r>
          </w:p>
          <w:p w14:paraId="67915F08" w14:textId="77777777" w:rsidR="00337C5D" w:rsidRDefault="00337C5D" w:rsidP="00337C5D">
            <w:pPr>
              <w:pStyle w:val="ListParagraph"/>
              <w:numPr>
                <w:ilvl w:val="0"/>
                <w:numId w:val="1"/>
              </w:numPr>
            </w:pPr>
            <w:r w:rsidRPr="00F12B58">
              <w:t>Plan and deliver differentiated instruction using a wide range of evidence-based instructional strategies, resources, and technological tools to meet the diverse learning needs of ENGLISH LANGUAGE LEARNERS</w:t>
            </w:r>
            <w:r>
              <w:t xml:space="preserve"> (2.20)</w:t>
            </w:r>
          </w:p>
          <w:p w14:paraId="7F22FBA4" w14:textId="5DBB3399" w:rsidR="00337C5D" w:rsidRDefault="00337C5D" w:rsidP="00337C5D">
            <w:pPr>
              <w:pStyle w:val="ListParagraph"/>
              <w:numPr>
                <w:ilvl w:val="0"/>
                <w:numId w:val="1"/>
              </w:numPr>
            </w:pPr>
            <w:r w:rsidRPr="00F12B58">
              <w:t>Plan and deliver differentiated instruction using a wide range of evidence-based instructional strategies, resources, and technological tools to meet the diverse learning needs of GIFTED STUDENTS</w:t>
            </w:r>
            <w:r>
              <w:t xml:space="preserve"> (2.18)</w:t>
            </w:r>
          </w:p>
        </w:tc>
      </w:tr>
    </w:tbl>
    <w:p w14:paraId="1AE4EEFE" w14:textId="77777777" w:rsidR="00350E65" w:rsidRPr="00E27AFB" w:rsidRDefault="00350E65" w:rsidP="00DD575D">
      <w:pPr>
        <w:spacing w:after="0"/>
      </w:pPr>
    </w:p>
    <w:p w14:paraId="6BAD6494" w14:textId="77777777" w:rsidR="00EA3D8D" w:rsidRDefault="00EA3D8D" w:rsidP="00DD575D">
      <w:pPr>
        <w:rPr>
          <w:b/>
          <w:bCs/>
        </w:rPr>
      </w:pPr>
    </w:p>
    <w:p w14:paraId="5225293B" w14:textId="1A0FD00E" w:rsidR="006257E4" w:rsidRPr="006257E4" w:rsidRDefault="006257E4" w:rsidP="00DD575D">
      <w:pPr>
        <w:rPr>
          <w:b/>
          <w:bCs/>
        </w:rPr>
      </w:pPr>
      <w:r w:rsidRPr="006257E4">
        <w:rPr>
          <w:b/>
          <w:bCs/>
        </w:rPr>
        <w:lastRenderedPageBreak/>
        <w:t>Analysis:</w:t>
      </w:r>
    </w:p>
    <w:p w14:paraId="76FDA625" w14:textId="7E63B509" w:rsidR="00350E65" w:rsidRDefault="00DD575D" w:rsidP="00DD575D">
      <w:r w:rsidRPr="00E27AFB">
        <w:t>While t</w:t>
      </w:r>
      <w:r w:rsidR="00350E65">
        <w:t>he</w:t>
      </w:r>
      <w:r w:rsidRPr="00E27AFB">
        <w:t xml:space="preserve"> return rate is lower </w:t>
      </w:r>
      <w:r w:rsidR="00350E65">
        <w:t xml:space="preserve">among </w:t>
      </w:r>
      <w:r w:rsidRPr="00E27AFB">
        <w:t>completers, this is still a strong sample size of those</w:t>
      </w:r>
      <w:r w:rsidR="00350E65">
        <w:t xml:space="preserve"> completing programs</w:t>
      </w:r>
      <w:r w:rsidRPr="00E27AFB">
        <w:t xml:space="preserve">. </w:t>
      </w:r>
    </w:p>
    <w:p w14:paraId="40BA37CD" w14:textId="0ED0CADB" w:rsidR="00DD575D" w:rsidRDefault="00EA3D8D" w:rsidP="00DD575D">
      <w:r>
        <w:t xml:space="preserve">Based on </w:t>
      </w:r>
      <w:proofErr w:type="gramStart"/>
      <w:r>
        <w:t>c</w:t>
      </w:r>
      <w:r w:rsidR="006257E4">
        <w:t>ompleter</w:t>
      </w:r>
      <w:proofErr w:type="gramEnd"/>
      <w:r w:rsidR="006257E4">
        <w:t xml:space="preserve"> </w:t>
      </w:r>
      <w:r w:rsidR="00520636">
        <w:t xml:space="preserve">data, the </w:t>
      </w:r>
      <w:r w:rsidR="00DD575D" w:rsidRPr="00E27AFB">
        <w:t>level of satisfaction with</w:t>
      </w:r>
      <w:r w:rsidR="006257E4">
        <w:t xml:space="preserve"> the EPP’s program</w:t>
      </w:r>
      <w:r w:rsidR="00520636">
        <w:t xml:space="preserve"> is high</w:t>
      </w:r>
      <w:r w:rsidR="00DD575D" w:rsidRPr="00E27AFB">
        <w:t xml:space="preserve">. Of the </w:t>
      </w:r>
      <w:proofErr w:type="gramStart"/>
      <w:r w:rsidR="00337C5D">
        <w:t>13</w:t>
      </w:r>
      <w:proofErr w:type="gramEnd"/>
      <w:r w:rsidR="00DD575D" w:rsidRPr="00E27AFB">
        <w:t xml:space="preserve"> responders,</w:t>
      </w:r>
      <w:r w:rsidR="001903F2">
        <w:t xml:space="preserve"> </w:t>
      </w:r>
      <w:proofErr w:type="gramStart"/>
      <w:r w:rsidR="001903F2">
        <w:t>9</w:t>
      </w:r>
      <w:proofErr w:type="gramEnd"/>
      <w:r w:rsidR="00DD575D" w:rsidRPr="00E27AFB">
        <w:t xml:space="preserve"> indicated they were “Very Satisfied</w:t>
      </w:r>
      <w:r w:rsidR="001903F2">
        <w:t>,</w:t>
      </w:r>
      <w:r w:rsidR="00DD575D" w:rsidRPr="00E27AFB">
        <w:t xml:space="preserve">” </w:t>
      </w:r>
      <w:r w:rsidR="001903F2">
        <w:t>7</w:t>
      </w:r>
      <w:r w:rsidR="00DD575D" w:rsidRPr="00E27AFB">
        <w:t xml:space="preserve"> indicated that they were “Satisfied</w:t>
      </w:r>
      <w:r w:rsidR="001903F2">
        <w:t>,</w:t>
      </w:r>
      <w:r w:rsidR="00DD575D" w:rsidRPr="00E27AFB">
        <w:t>”</w:t>
      </w:r>
      <w:r w:rsidR="001903F2">
        <w:t xml:space="preserve"> and </w:t>
      </w:r>
      <w:proofErr w:type="gramStart"/>
      <w:r w:rsidR="001903F2">
        <w:t>1</w:t>
      </w:r>
      <w:proofErr w:type="gramEnd"/>
      <w:r w:rsidR="001903F2">
        <w:t xml:space="preserve"> indicated “Neither Satisfied </w:t>
      </w:r>
      <w:r w:rsidR="00822F69">
        <w:t>nor</w:t>
      </w:r>
      <w:r w:rsidR="001903F2">
        <w:t xml:space="preserve"> Dissatisfied.” </w:t>
      </w:r>
      <w:r w:rsidR="00DD575D" w:rsidRPr="00E27AFB">
        <w:t xml:space="preserve"> Thus</w:t>
      </w:r>
      <w:r w:rsidR="00DD575D" w:rsidRPr="001903F2">
        <w:t xml:space="preserve">, </w:t>
      </w:r>
      <w:r w:rsidR="001903F2">
        <w:t>52.94</w:t>
      </w:r>
      <w:r w:rsidR="00DD575D" w:rsidRPr="001903F2">
        <w:t>%</w:t>
      </w:r>
      <w:r w:rsidR="00DD575D" w:rsidRPr="00E27AFB">
        <w:t xml:space="preserve"> of responders were highly satisfied</w:t>
      </w:r>
      <w:r w:rsidR="001903F2">
        <w:t>,</w:t>
      </w:r>
      <w:r w:rsidR="00DD575D" w:rsidRPr="00E27AFB">
        <w:t xml:space="preserve"> </w:t>
      </w:r>
      <w:r w:rsidR="001903F2" w:rsidRPr="001903F2">
        <w:t>41.18</w:t>
      </w:r>
      <w:r w:rsidR="00DD575D" w:rsidRPr="001903F2">
        <w:t>%</w:t>
      </w:r>
      <w:r w:rsidR="00DD575D" w:rsidRPr="00E27AFB">
        <w:t xml:space="preserve"> were satisfied</w:t>
      </w:r>
      <w:r w:rsidR="001903F2">
        <w:t xml:space="preserve">, and 5.88% were neither satisfied </w:t>
      </w:r>
      <w:r w:rsidR="00520636">
        <w:t>n</w:t>
      </w:r>
      <w:r w:rsidR="001903F2">
        <w:t>or dissatisfied</w:t>
      </w:r>
      <w:r w:rsidR="00DD575D" w:rsidRPr="00E27AFB">
        <w:t xml:space="preserve">. This indicates that the EPP has </w:t>
      </w:r>
      <w:r w:rsidR="00520636">
        <w:t xml:space="preserve">over a </w:t>
      </w:r>
      <w:r w:rsidR="000C30B9">
        <w:t>94</w:t>
      </w:r>
      <w:r w:rsidR="00520636">
        <w:t>%</w:t>
      </w:r>
      <w:r w:rsidR="00DD575D" w:rsidRPr="00E27AFB">
        <w:t xml:space="preserve"> satisfaction rate for its completers</w:t>
      </w:r>
      <w:r w:rsidR="000C30B9">
        <w:t xml:space="preserve"> (“Very Satisfied” or “Satisfied”)</w:t>
      </w:r>
      <w:r w:rsidR="00DD575D" w:rsidRPr="00E27AFB">
        <w:t>, based on those responders to the survey.</w:t>
      </w:r>
    </w:p>
    <w:p w14:paraId="35E07A7A" w14:textId="0941A062" w:rsidR="006257E4" w:rsidRPr="0002614E" w:rsidRDefault="0002614E" w:rsidP="006257E4">
      <w:r w:rsidRPr="0002614E">
        <w:rPr>
          <w:rFonts w:eastAsiaTheme="minorEastAsia" w:cs="Times New Roman"/>
          <w:bCs/>
        </w:rPr>
        <w:t xml:space="preserve">Employers overall reported that they were satisfied with the EPP completers, but there are areas for growth for completers and the EPP. </w:t>
      </w:r>
      <w:r w:rsidR="006257E4" w:rsidRPr="0002614E">
        <w:t xml:space="preserve">Of </w:t>
      </w:r>
      <w:r w:rsidR="006D169C" w:rsidRPr="0002614E">
        <w:t>e</w:t>
      </w:r>
      <w:r w:rsidR="006257E4" w:rsidRPr="0002614E">
        <w:t xml:space="preserve">mployer responders, </w:t>
      </w:r>
      <w:proofErr w:type="gramStart"/>
      <w:r w:rsidR="00520636">
        <w:t>11</w:t>
      </w:r>
      <w:proofErr w:type="gramEnd"/>
      <w:r w:rsidR="006257E4" w:rsidRPr="0002614E">
        <w:t xml:space="preserve"> indicated they were “Very Satisfied,” </w:t>
      </w:r>
      <w:r w:rsidR="00520636">
        <w:t xml:space="preserve">and </w:t>
      </w:r>
      <w:proofErr w:type="gramStart"/>
      <w:r w:rsidR="00520636">
        <w:t>3</w:t>
      </w:r>
      <w:proofErr w:type="gramEnd"/>
      <w:r w:rsidR="006257E4" w:rsidRPr="0002614E">
        <w:t xml:space="preserve"> indicated that they were “Satisfied</w:t>
      </w:r>
      <w:r w:rsidR="00520636">
        <w:t>” with the educator preparation program</w:t>
      </w:r>
      <w:proofErr w:type="gramStart"/>
      <w:r w:rsidR="00520636">
        <w:t>.</w:t>
      </w:r>
      <w:r w:rsidR="006257E4" w:rsidRPr="0002614E">
        <w:t xml:space="preserve">  </w:t>
      </w:r>
      <w:proofErr w:type="gramEnd"/>
      <w:r w:rsidR="006257E4" w:rsidRPr="0002614E">
        <w:t xml:space="preserve">Thus, </w:t>
      </w:r>
      <w:r w:rsidR="00520636">
        <w:t>78.57</w:t>
      </w:r>
      <w:r w:rsidR="006257E4" w:rsidRPr="0002614E">
        <w:t>% of responders were highly satisfied</w:t>
      </w:r>
      <w:r w:rsidR="00520636">
        <w:t xml:space="preserve"> and 21.43</w:t>
      </w:r>
      <w:r w:rsidR="006257E4" w:rsidRPr="0002614E">
        <w:t xml:space="preserve">% </w:t>
      </w:r>
      <w:r w:rsidR="00520636">
        <w:t xml:space="preserve">noted they </w:t>
      </w:r>
      <w:r w:rsidR="006257E4" w:rsidRPr="0002614E">
        <w:t>were satisfied. This indicates that the EPP has a 100% satisfaction rate for its completers, based on those responders to the survey.</w:t>
      </w:r>
    </w:p>
    <w:p w14:paraId="1AD9F07A" w14:textId="32D7E43D" w:rsidR="0066018C" w:rsidRPr="0066018C" w:rsidRDefault="0066018C" w:rsidP="0066018C">
      <w:pPr>
        <w:rPr>
          <w:bCs/>
        </w:rPr>
      </w:pPr>
      <w:r w:rsidRPr="0066018C">
        <w:rPr>
          <w:bCs/>
        </w:rPr>
        <w:t xml:space="preserve">Data </w:t>
      </w:r>
      <w:r w:rsidR="00520636">
        <w:rPr>
          <w:bCs/>
        </w:rPr>
        <w:t xml:space="preserve">from Table 1 </w:t>
      </w:r>
      <w:proofErr w:type="gramStart"/>
      <w:r w:rsidRPr="0066018C">
        <w:rPr>
          <w:bCs/>
        </w:rPr>
        <w:t>were compared</w:t>
      </w:r>
      <w:proofErr w:type="gramEnd"/>
      <w:r w:rsidRPr="0066018C">
        <w:rPr>
          <w:bCs/>
        </w:rPr>
        <w:t xml:space="preserve"> from the Completer and Employer Surveys that evaluated completers’ impact on P-12 student growth and achievement. Based upon </w:t>
      </w:r>
      <w:r w:rsidR="000C30B9">
        <w:rPr>
          <w:bCs/>
        </w:rPr>
        <w:t xml:space="preserve">a two-tailed </w:t>
      </w:r>
      <w:r w:rsidR="002F154B" w:rsidRPr="002F154B">
        <w:rPr>
          <w:bCs/>
        </w:rPr>
        <w:t xml:space="preserve">t-test </w:t>
      </w:r>
      <w:r w:rsidRPr="0066018C">
        <w:rPr>
          <w:bCs/>
        </w:rPr>
        <w:t>results, there was</w:t>
      </w:r>
      <w:r w:rsidR="002F154B" w:rsidRPr="002F154B">
        <w:rPr>
          <w:bCs/>
        </w:rPr>
        <w:t xml:space="preserve"> a </w:t>
      </w:r>
      <w:r w:rsidRPr="0066018C">
        <w:rPr>
          <w:bCs/>
        </w:rPr>
        <w:t>statistically significant difference between the mean of the weighted averages of completer responses and the mean of the weighted averages of the employer responses at p</w:t>
      </w:r>
      <m:oMath>
        <m:r>
          <w:rPr>
            <w:rFonts w:ascii="Cambria Math" w:hAnsi="Cambria Math"/>
          </w:rPr>
          <m:t>&lt;</m:t>
        </m:r>
      </m:oMath>
      <w:r w:rsidRPr="0066018C">
        <w:rPr>
          <w:bCs/>
        </w:rPr>
        <w:t>.05, where t=</w:t>
      </w:r>
      <w:r w:rsidR="002F154B" w:rsidRPr="002F154B">
        <w:rPr>
          <w:bCs/>
        </w:rPr>
        <w:t>6.</w:t>
      </w:r>
      <w:r w:rsidR="000C30B9">
        <w:rPr>
          <w:bCs/>
        </w:rPr>
        <w:t>11</w:t>
      </w:r>
      <w:r w:rsidRPr="0066018C">
        <w:rPr>
          <w:bCs/>
        </w:rPr>
        <w:t xml:space="preserve">, </w:t>
      </w:r>
      <w:r w:rsidR="000C30B9">
        <w:rPr>
          <w:bCs/>
        </w:rPr>
        <w:t>df</w:t>
      </w:r>
      <w:r w:rsidRPr="0066018C">
        <w:rPr>
          <w:bCs/>
        </w:rPr>
        <w:t>=</w:t>
      </w:r>
      <w:r w:rsidR="000C30B9">
        <w:t xml:space="preserve"> 29</w:t>
      </w:r>
      <w:r w:rsidRPr="0066018C">
        <w:rPr>
          <w:bCs/>
        </w:rPr>
        <w:t>.</w:t>
      </w:r>
      <w:r w:rsidR="002F154B">
        <w:rPr>
          <w:bCs/>
        </w:rPr>
        <w:t xml:space="preserve"> Information used to complete this calculation can </w:t>
      </w:r>
      <w:proofErr w:type="gramStart"/>
      <w:r w:rsidR="002F154B">
        <w:rPr>
          <w:bCs/>
        </w:rPr>
        <w:t>be found</w:t>
      </w:r>
      <w:proofErr w:type="gramEnd"/>
      <w:r w:rsidR="002F154B">
        <w:rPr>
          <w:bCs/>
        </w:rPr>
        <w:t xml:space="preserve"> in Table 4.</w:t>
      </w:r>
      <w:r w:rsidR="0002614E">
        <w:rPr>
          <w:bCs/>
        </w:rPr>
        <w:t xml:space="preserve"> </w:t>
      </w:r>
      <w:r w:rsidR="0002614E" w:rsidRPr="0002614E">
        <w:rPr>
          <w:bCs/>
        </w:rPr>
        <w:t xml:space="preserve">With the difference between completer and employer survey ratings being statistically significant, the EPP will review these data as a faculty. It is important to ensure that the EPP’s completers </w:t>
      </w:r>
      <w:r w:rsidR="00520636" w:rsidRPr="0002614E">
        <w:rPr>
          <w:bCs/>
        </w:rPr>
        <w:t>can</w:t>
      </w:r>
      <w:r w:rsidR="0002614E" w:rsidRPr="0002614E">
        <w:rPr>
          <w:bCs/>
        </w:rPr>
        <w:t xml:space="preserve"> reflect accurately on their practice and skills. More opportunities for reflective practice would be beneficial to the EPP’s completers. </w:t>
      </w:r>
    </w:p>
    <w:p w14:paraId="72E40194" w14:textId="2AF63646" w:rsidR="0066018C" w:rsidRPr="002F154B" w:rsidRDefault="002F154B" w:rsidP="006257E4">
      <w:pPr>
        <w:rPr>
          <w:b/>
          <w:bCs/>
        </w:rPr>
      </w:pPr>
      <w:r w:rsidRPr="002F154B">
        <w:rPr>
          <w:b/>
          <w:bCs/>
        </w:rPr>
        <w:t>Table 4. Completer and Employer Surveys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018C" w:rsidRPr="00051657" w14:paraId="3417AD81" w14:textId="77777777" w:rsidTr="00CF1079">
        <w:tc>
          <w:tcPr>
            <w:tcW w:w="3116" w:type="dxa"/>
            <w:shd w:val="clear" w:color="auto" w:fill="D9D9D9" w:themeFill="background1" w:themeFillShade="D9"/>
          </w:tcPr>
          <w:p w14:paraId="4A448ED7" w14:textId="77777777" w:rsidR="0066018C" w:rsidRPr="00051657" w:rsidRDefault="0066018C" w:rsidP="00CF1079">
            <w:pPr>
              <w:jc w:val="center"/>
              <w:rPr>
                <w:b/>
                <w:bCs/>
              </w:rPr>
            </w:pPr>
            <w:r w:rsidRPr="00051657">
              <w:rPr>
                <w:b/>
                <w:bCs/>
              </w:rPr>
              <w:t>Group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328A15A" w14:textId="77777777" w:rsidR="0066018C" w:rsidRPr="00051657" w:rsidRDefault="0066018C" w:rsidP="00CF1079">
            <w:pPr>
              <w:jc w:val="center"/>
              <w:rPr>
                <w:b/>
                <w:bCs/>
              </w:rPr>
            </w:pPr>
            <w:r w:rsidRPr="00051657">
              <w:rPr>
                <w:b/>
                <w:bCs/>
              </w:rPr>
              <w:t>Completers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8C2CBF8" w14:textId="77777777" w:rsidR="0066018C" w:rsidRPr="00051657" w:rsidRDefault="0066018C" w:rsidP="00CF1079">
            <w:pPr>
              <w:jc w:val="center"/>
              <w:rPr>
                <w:b/>
                <w:bCs/>
              </w:rPr>
            </w:pPr>
            <w:r w:rsidRPr="00051657">
              <w:rPr>
                <w:b/>
                <w:bCs/>
              </w:rPr>
              <w:t>Employers</w:t>
            </w:r>
          </w:p>
        </w:tc>
      </w:tr>
      <w:tr w:rsidR="0066018C" w14:paraId="0CD8014A" w14:textId="77777777" w:rsidTr="00CF1079">
        <w:tc>
          <w:tcPr>
            <w:tcW w:w="3116" w:type="dxa"/>
          </w:tcPr>
          <w:p w14:paraId="0B68017D" w14:textId="77777777" w:rsidR="0066018C" w:rsidRDefault="0066018C" w:rsidP="00CF1079">
            <w:r>
              <w:t>N</w:t>
            </w:r>
          </w:p>
        </w:tc>
        <w:tc>
          <w:tcPr>
            <w:tcW w:w="3117" w:type="dxa"/>
          </w:tcPr>
          <w:p w14:paraId="300DC0CC" w14:textId="77777777" w:rsidR="0066018C" w:rsidRDefault="0066018C" w:rsidP="00CF1079">
            <w:pPr>
              <w:jc w:val="center"/>
            </w:pPr>
            <w:r>
              <w:t>17</w:t>
            </w:r>
          </w:p>
        </w:tc>
        <w:tc>
          <w:tcPr>
            <w:tcW w:w="3117" w:type="dxa"/>
          </w:tcPr>
          <w:p w14:paraId="1AAA2848" w14:textId="3CE46F91" w:rsidR="0066018C" w:rsidRDefault="0066018C" w:rsidP="00CF1079">
            <w:pPr>
              <w:jc w:val="center"/>
            </w:pPr>
            <w:r>
              <w:t>1</w:t>
            </w:r>
            <w:r w:rsidR="000D0AAA">
              <w:t>4</w:t>
            </w:r>
          </w:p>
        </w:tc>
      </w:tr>
      <w:tr w:rsidR="0066018C" w14:paraId="3BC44A8E" w14:textId="77777777" w:rsidTr="00CF1079">
        <w:tc>
          <w:tcPr>
            <w:tcW w:w="3116" w:type="dxa"/>
          </w:tcPr>
          <w:p w14:paraId="55B63106" w14:textId="77777777" w:rsidR="0066018C" w:rsidRDefault="0066018C" w:rsidP="00CF1079">
            <w:r>
              <w:t>Mean</w:t>
            </w:r>
          </w:p>
        </w:tc>
        <w:tc>
          <w:tcPr>
            <w:tcW w:w="3117" w:type="dxa"/>
          </w:tcPr>
          <w:p w14:paraId="49839569" w14:textId="77777777" w:rsidR="0066018C" w:rsidRDefault="0066018C" w:rsidP="00CF1079">
            <w:pPr>
              <w:jc w:val="center"/>
            </w:pPr>
            <w:r>
              <w:t>2.54</w:t>
            </w:r>
          </w:p>
        </w:tc>
        <w:tc>
          <w:tcPr>
            <w:tcW w:w="3117" w:type="dxa"/>
          </w:tcPr>
          <w:p w14:paraId="5807BC01" w14:textId="77777777" w:rsidR="0066018C" w:rsidRDefault="0066018C" w:rsidP="00CF1079">
            <w:pPr>
              <w:jc w:val="center"/>
            </w:pPr>
            <w:r>
              <w:t>2.35</w:t>
            </w:r>
          </w:p>
        </w:tc>
      </w:tr>
      <w:tr w:rsidR="0066018C" w14:paraId="54EFCEE7" w14:textId="77777777" w:rsidTr="00CF1079">
        <w:tc>
          <w:tcPr>
            <w:tcW w:w="3116" w:type="dxa"/>
          </w:tcPr>
          <w:p w14:paraId="746CFB68" w14:textId="31E641FB" w:rsidR="0066018C" w:rsidRDefault="004548D2" w:rsidP="00CF1079">
            <w:r>
              <w:t>Standard Deviation</w:t>
            </w:r>
          </w:p>
        </w:tc>
        <w:tc>
          <w:tcPr>
            <w:tcW w:w="3117" w:type="dxa"/>
          </w:tcPr>
          <w:p w14:paraId="13F5AC1C" w14:textId="25209458" w:rsidR="0066018C" w:rsidRDefault="000C30B9" w:rsidP="00CF1079">
            <w:pPr>
              <w:jc w:val="center"/>
            </w:pPr>
            <w:r>
              <w:t>0</w:t>
            </w:r>
            <w:r w:rsidR="004548D2">
              <w:t>.0</w:t>
            </w:r>
            <w:r>
              <w:t>83</w:t>
            </w:r>
          </w:p>
        </w:tc>
        <w:tc>
          <w:tcPr>
            <w:tcW w:w="3117" w:type="dxa"/>
          </w:tcPr>
          <w:p w14:paraId="52D8743B" w14:textId="6B548EFB" w:rsidR="0066018C" w:rsidRDefault="004548D2" w:rsidP="00CF1079">
            <w:pPr>
              <w:jc w:val="center"/>
            </w:pPr>
            <w:r>
              <w:t>0.0</w:t>
            </w:r>
            <w:r w:rsidR="000C30B9">
              <w:t>9</w:t>
            </w:r>
          </w:p>
        </w:tc>
      </w:tr>
    </w:tbl>
    <w:p w14:paraId="5F50E2FB" w14:textId="77777777" w:rsidR="00A97DE1" w:rsidRDefault="00A97DE1" w:rsidP="00DD575D"/>
    <w:p w14:paraId="5F8B64A1" w14:textId="5E710FB2" w:rsidR="00520636" w:rsidRPr="00E27AFB" w:rsidRDefault="00520636" w:rsidP="00DD575D">
      <w:r>
        <w:t xml:space="preserve">In addition to reviewing the statistical significance of items within the survey, the </w:t>
      </w:r>
      <w:r w:rsidR="000D0AAA">
        <w:t xml:space="preserve">provider also reviewed self-reported data from respondents notes in Table 5. The effectiveness data indicates that these teachers are over 88% effective when evaluated by their supervisors. </w:t>
      </w:r>
    </w:p>
    <w:p w14:paraId="26456978" w14:textId="2304DFF9" w:rsidR="00051657" w:rsidRDefault="00B8328A">
      <w:pPr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2F154B">
        <w:rPr>
          <w:b/>
          <w:bCs/>
        </w:rPr>
        <w:t>5</w:t>
      </w:r>
      <w:r>
        <w:rPr>
          <w:b/>
          <w:bCs/>
        </w:rPr>
        <w:t>: Completer Effectiveness Data Based on SC Expanded ADEPT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328A" w14:paraId="085E8C8A" w14:textId="77777777" w:rsidTr="006D169C">
        <w:tc>
          <w:tcPr>
            <w:tcW w:w="3116" w:type="dxa"/>
            <w:shd w:val="clear" w:color="auto" w:fill="D9D9D9" w:themeFill="background1" w:themeFillShade="D9"/>
          </w:tcPr>
          <w:p w14:paraId="117296DE" w14:textId="7BD7D9DC" w:rsidR="00B8328A" w:rsidRDefault="00B8328A" w:rsidP="006D1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74128375" w14:textId="22CDBBE5" w:rsidR="00B8328A" w:rsidRDefault="00B8328A" w:rsidP="006D1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54A2448" w14:textId="33BF023F" w:rsidR="00B8328A" w:rsidRDefault="00B8328A" w:rsidP="006D1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 Effective*</w:t>
            </w:r>
          </w:p>
        </w:tc>
      </w:tr>
      <w:tr w:rsidR="00B8328A" w14:paraId="74A82CDC" w14:textId="77777777" w:rsidTr="00B8328A">
        <w:tc>
          <w:tcPr>
            <w:tcW w:w="3116" w:type="dxa"/>
          </w:tcPr>
          <w:p w14:paraId="2E424E52" w14:textId="365115E5" w:rsidR="00B8328A" w:rsidRPr="00B8328A" w:rsidRDefault="00B8328A">
            <w:r w:rsidRPr="00B8328A">
              <w:t>Met</w:t>
            </w:r>
          </w:p>
        </w:tc>
        <w:tc>
          <w:tcPr>
            <w:tcW w:w="3117" w:type="dxa"/>
          </w:tcPr>
          <w:p w14:paraId="40C35E81" w14:textId="0EF92C71" w:rsidR="00B8328A" w:rsidRPr="00B8328A" w:rsidRDefault="00B8328A" w:rsidP="006D169C">
            <w:pPr>
              <w:jc w:val="center"/>
            </w:pPr>
            <w:r w:rsidRPr="00B8328A">
              <w:t>15</w:t>
            </w:r>
          </w:p>
        </w:tc>
        <w:tc>
          <w:tcPr>
            <w:tcW w:w="3117" w:type="dxa"/>
          </w:tcPr>
          <w:p w14:paraId="220D55FA" w14:textId="0D6BEC9C" w:rsidR="00B8328A" w:rsidRPr="00B8328A" w:rsidRDefault="00B8328A" w:rsidP="006D169C">
            <w:pPr>
              <w:jc w:val="center"/>
            </w:pPr>
            <w:r w:rsidRPr="00B8328A">
              <w:t>88.24</w:t>
            </w:r>
          </w:p>
        </w:tc>
      </w:tr>
      <w:tr w:rsidR="00B8328A" w14:paraId="1F99B4B6" w14:textId="77777777" w:rsidTr="00B8328A">
        <w:tc>
          <w:tcPr>
            <w:tcW w:w="3116" w:type="dxa"/>
          </w:tcPr>
          <w:p w14:paraId="72CDFA57" w14:textId="0E800FC7" w:rsidR="00B8328A" w:rsidRPr="00B8328A" w:rsidRDefault="00B8328A">
            <w:r w:rsidRPr="00B8328A">
              <w:t>Not Met</w:t>
            </w:r>
          </w:p>
        </w:tc>
        <w:tc>
          <w:tcPr>
            <w:tcW w:w="3117" w:type="dxa"/>
          </w:tcPr>
          <w:p w14:paraId="6309D6B6" w14:textId="082AB60F" w:rsidR="00B8328A" w:rsidRPr="00B8328A" w:rsidRDefault="00B8328A" w:rsidP="006D169C">
            <w:pPr>
              <w:jc w:val="center"/>
            </w:pPr>
            <w:r w:rsidRPr="00B8328A">
              <w:t>1</w:t>
            </w:r>
          </w:p>
        </w:tc>
        <w:tc>
          <w:tcPr>
            <w:tcW w:w="3117" w:type="dxa"/>
          </w:tcPr>
          <w:p w14:paraId="0B7EEEBE" w14:textId="38B3C042" w:rsidR="00B8328A" w:rsidRPr="00B8328A" w:rsidRDefault="00B8328A" w:rsidP="006D169C">
            <w:pPr>
              <w:jc w:val="center"/>
            </w:pPr>
            <w:r w:rsidRPr="00B8328A">
              <w:t>5.88</w:t>
            </w:r>
          </w:p>
        </w:tc>
      </w:tr>
      <w:tr w:rsidR="00B8328A" w14:paraId="63323747" w14:textId="77777777" w:rsidTr="00B8328A">
        <w:tc>
          <w:tcPr>
            <w:tcW w:w="3116" w:type="dxa"/>
          </w:tcPr>
          <w:p w14:paraId="4BE8D512" w14:textId="1F942E8A" w:rsidR="00B8328A" w:rsidRPr="00B8328A" w:rsidRDefault="00B8328A">
            <w:r w:rsidRPr="00B8328A">
              <w:t>Not Reported</w:t>
            </w:r>
          </w:p>
        </w:tc>
        <w:tc>
          <w:tcPr>
            <w:tcW w:w="3117" w:type="dxa"/>
          </w:tcPr>
          <w:p w14:paraId="3E42E4FD" w14:textId="47C56216" w:rsidR="00B8328A" w:rsidRPr="00B8328A" w:rsidRDefault="00B8328A" w:rsidP="006D169C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27578265" w14:textId="6B6CA783" w:rsidR="00B8328A" w:rsidRPr="00B8328A" w:rsidRDefault="00B8328A" w:rsidP="006D169C">
            <w:pPr>
              <w:jc w:val="center"/>
            </w:pPr>
            <w:r>
              <w:t>5.88</w:t>
            </w:r>
          </w:p>
        </w:tc>
      </w:tr>
    </w:tbl>
    <w:p w14:paraId="14721476" w14:textId="186A54AD" w:rsidR="00B8328A" w:rsidRDefault="00B8328A">
      <w:pPr>
        <w:rPr>
          <w:sz w:val="20"/>
          <w:szCs w:val="20"/>
        </w:rPr>
      </w:pPr>
      <w:r w:rsidRPr="00B8328A">
        <w:rPr>
          <w:sz w:val="20"/>
          <w:szCs w:val="20"/>
        </w:rPr>
        <w:t>*Self-Reported</w:t>
      </w:r>
    </w:p>
    <w:p w14:paraId="282BC509" w14:textId="516D0E74" w:rsidR="000D0AAA" w:rsidRDefault="00883DB8">
      <w:r>
        <w:t>The</w:t>
      </w:r>
      <w:r w:rsidR="000D0AAA">
        <w:t xml:space="preserve"> provider sought to triangulate data to demonstrate </w:t>
      </w:r>
      <w:proofErr w:type="gramStart"/>
      <w:r w:rsidR="000D0AAA">
        <w:t>completer</w:t>
      </w:r>
      <w:proofErr w:type="gramEnd"/>
      <w:r w:rsidR="000D0AAA">
        <w:t xml:space="preserve"> impact on P-12 students. Additional data on student promotion and estimated growth (Tables 4 and 5) show that over 93% of students in completers’ classrooms </w:t>
      </w:r>
      <w:proofErr w:type="gramStart"/>
      <w:r w:rsidR="000D0AAA">
        <w:t>are promoted</w:t>
      </w:r>
      <w:proofErr w:type="gramEnd"/>
      <w:r w:rsidR="000D0AAA">
        <w:t xml:space="preserve"> and that the majority of student taking tests in their classrooms are showing mastery based on </w:t>
      </w:r>
      <w:r w:rsidR="000C30B9">
        <w:t>instruction</w:t>
      </w:r>
      <w:r w:rsidR="000D0AAA">
        <w:t>.</w:t>
      </w:r>
    </w:p>
    <w:p w14:paraId="65AD19DC" w14:textId="3274068B" w:rsidR="00B8328A" w:rsidRDefault="00B8328A">
      <w:pPr>
        <w:rPr>
          <w:b/>
          <w:bCs/>
        </w:rPr>
      </w:pPr>
      <w:r w:rsidRPr="00B8328A">
        <w:rPr>
          <w:b/>
          <w:bCs/>
        </w:rPr>
        <w:t xml:space="preserve">Table 4. Student </w:t>
      </w:r>
      <w:r>
        <w:rPr>
          <w:b/>
          <w:bCs/>
        </w:rPr>
        <w:t>Promotion Data</w:t>
      </w:r>
      <w:r w:rsidR="006D169C">
        <w:rPr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328A" w14:paraId="4E2822D0" w14:textId="77777777" w:rsidTr="006D169C">
        <w:tc>
          <w:tcPr>
            <w:tcW w:w="4675" w:type="dxa"/>
            <w:shd w:val="clear" w:color="auto" w:fill="D9D9D9" w:themeFill="background1" w:themeFillShade="D9"/>
          </w:tcPr>
          <w:p w14:paraId="358B926D" w14:textId="42B07250" w:rsidR="00B8328A" w:rsidRDefault="00B8328A" w:rsidP="006D1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 Promotion Rate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67D40B4" w14:textId="4486837E" w:rsidR="00B8328A" w:rsidRDefault="00B8328A" w:rsidP="006D1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 Promoted</w:t>
            </w:r>
          </w:p>
        </w:tc>
      </w:tr>
      <w:tr w:rsidR="00B8328A" w14:paraId="779DDE00" w14:textId="77777777" w:rsidTr="00B8328A">
        <w:tc>
          <w:tcPr>
            <w:tcW w:w="4675" w:type="dxa"/>
          </w:tcPr>
          <w:p w14:paraId="74CC7534" w14:textId="759F2860" w:rsidR="00B8328A" w:rsidRPr="006D169C" w:rsidRDefault="00B8328A">
            <w:r w:rsidRPr="006D169C">
              <w:t>Less than 25</w:t>
            </w:r>
          </w:p>
        </w:tc>
        <w:tc>
          <w:tcPr>
            <w:tcW w:w="4675" w:type="dxa"/>
          </w:tcPr>
          <w:p w14:paraId="62B93E74" w14:textId="0A86666C" w:rsidR="00B8328A" w:rsidRPr="006D169C" w:rsidRDefault="006D169C" w:rsidP="006D169C">
            <w:pPr>
              <w:jc w:val="center"/>
            </w:pPr>
            <w:r w:rsidRPr="006D169C">
              <w:t>0</w:t>
            </w:r>
          </w:p>
        </w:tc>
      </w:tr>
      <w:tr w:rsidR="00B8328A" w14:paraId="632C4969" w14:textId="77777777" w:rsidTr="00B8328A">
        <w:tc>
          <w:tcPr>
            <w:tcW w:w="4675" w:type="dxa"/>
          </w:tcPr>
          <w:p w14:paraId="7E5A9B7C" w14:textId="2090FF4E" w:rsidR="00B8328A" w:rsidRPr="006D169C" w:rsidRDefault="00B8328A">
            <w:r w:rsidRPr="006D169C">
              <w:t>26-50</w:t>
            </w:r>
          </w:p>
        </w:tc>
        <w:tc>
          <w:tcPr>
            <w:tcW w:w="4675" w:type="dxa"/>
          </w:tcPr>
          <w:p w14:paraId="750BDD0E" w14:textId="6113F92D" w:rsidR="00B8328A" w:rsidRPr="006D169C" w:rsidRDefault="006D169C" w:rsidP="006D169C">
            <w:pPr>
              <w:jc w:val="center"/>
            </w:pPr>
            <w:r w:rsidRPr="006D169C">
              <w:t>0</w:t>
            </w:r>
          </w:p>
        </w:tc>
      </w:tr>
      <w:tr w:rsidR="00B8328A" w14:paraId="15215D9F" w14:textId="77777777" w:rsidTr="00B8328A">
        <w:tc>
          <w:tcPr>
            <w:tcW w:w="4675" w:type="dxa"/>
          </w:tcPr>
          <w:p w14:paraId="35092D91" w14:textId="17D78DCD" w:rsidR="00B8328A" w:rsidRPr="006D169C" w:rsidRDefault="00B8328A">
            <w:r w:rsidRPr="006D169C">
              <w:t>51-75</w:t>
            </w:r>
          </w:p>
        </w:tc>
        <w:tc>
          <w:tcPr>
            <w:tcW w:w="4675" w:type="dxa"/>
          </w:tcPr>
          <w:p w14:paraId="3C25E725" w14:textId="43B2476B" w:rsidR="00B8328A" w:rsidRPr="006D169C" w:rsidRDefault="006D169C" w:rsidP="006D169C">
            <w:pPr>
              <w:jc w:val="center"/>
            </w:pPr>
            <w:r w:rsidRPr="006D169C">
              <w:t>6.25</w:t>
            </w:r>
          </w:p>
        </w:tc>
      </w:tr>
      <w:tr w:rsidR="00B8328A" w14:paraId="1CF3D11A" w14:textId="77777777" w:rsidTr="00B8328A">
        <w:tc>
          <w:tcPr>
            <w:tcW w:w="4675" w:type="dxa"/>
          </w:tcPr>
          <w:p w14:paraId="3C1154CF" w14:textId="0651CDDA" w:rsidR="00B8328A" w:rsidRPr="006D169C" w:rsidRDefault="00B8328A">
            <w:r w:rsidRPr="006D169C">
              <w:t>76-100</w:t>
            </w:r>
          </w:p>
        </w:tc>
        <w:tc>
          <w:tcPr>
            <w:tcW w:w="4675" w:type="dxa"/>
          </w:tcPr>
          <w:p w14:paraId="7FEF5DF1" w14:textId="26223CE2" w:rsidR="00B8328A" w:rsidRPr="006D169C" w:rsidRDefault="006D169C" w:rsidP="006D169C">
            <w:pPr>
              <w:jc w:val="center"/>
            </w:pPr>
            <w:r w:rsidRPr="006D169C">
              <w:t>93.75</w:t>
            </w:r>
          </w:p>
        </w:tc>
      </w:tr>
    </w:tbl>
    <w:p w14:paraId="339AD41D" w14:textId="566E9354" w:rsidR="00B8328A" w:rsidRDefault="006D169C">
      <w:pPr>
        <w:rPr>
          <w:sz w:val="20"/>
          <w:szCs w:val="20"/>
        </w:rPr>
      </w:pPr>
      <w:r w:rsidRPr="006D169C">
        <w:rPr>
          <w:sz w:val="20"/>
          <w:szCs w:val="20"/>
        </w:rPr>
        <w:t>*Self-Reported</w:t>
      </w:r>
    </w:p>
    <w:p w14:paraId="1DDF73A9" w14:textId="34A85E6D" w:rsidR="006D169C" w:rsidRPr="006D169C" w:rsidRDefault="006D169C">
      <w:pPr>
        <w:rPr>
          <w:b/>
          <w:bCs/>
        </w:rPr>
      </w:pPr>
      <w:r w:rsidRPr="006D169C">
        <w:rPr>
          <w:b/>
          <w:bCs/>
        </w:rPr>
        <w:t>Table 5. Completer Estimates of Student Growth</w:t>
      </w:r>
    </w:p>
    <w:p w14:paraId="12A54BB7" w14:textId="04F96ED3" w:rsidR="006D169C" w:rsidRDefault="006D169C">
      <w:r>
        <w:t xml:space="preserve">Table 5 </w:t>
      </w:r>
      <w:r w:rsidRPr="006D169C">
        <w:t xml:space="preserve">indicates that there is a difference </w:t>
      </w:r>
      <w:r w:rsidR="00822F69" w:rsidRPr="006D169C">
        <w:t>in</w:t>
      </w:r>
      <w:r w:rsidRPr="006D169C">
        <w:t xml:space="preserve"> the completers’ estimates for the percentage of students </w:t>
      </w:r>
      <w:r w:rsidR="00D56C75">
        <w:t xml:space="preserve">mastering </w:t>
      </w:r>
      <w:r w:rsidRPr="006D169C">
        <w:t>tests 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6C75" w14:paraId="294AA391" w14:textId="77777777" w:rsidTr="00CF1079">
        <w:tc>
          <w:tcPr>
            <w:tcW w:w="4675" w:type="dxa"/>
            <w:shd w:val="clear" w:color="auto" w:fill="D9D9D9" w:themeFill="background1" w:themeFillShade="D9"/>
          </w:tcPr>
          <w:p w14:paraId="077DF6F2" w14:textId="2328165F" w:rsidR="00D56C75" w:rsidRDefault="00D56C75" w:rsidP="00CF10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Growth Rate on Assessments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0677497B" w14:textId="56B854B8" w:rsidR="00D56C75" w:rsidRDefault="00D56C75" w:rsidP="00CF10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 Mastery</w:t>
            </w:r>
          </w:p>
        </w:tc>
      </w:tr>
      <w:tr w:rsidR="00D56C75" w:rsidRPr="006D169C" w14:paraId="0BB67DAC" w14:textId="77777777" w:rsidTr="00CF1079">
        <w:tc>
          <w:tcPr>
            <w:tcW w:w="4675" w:type="dxa"/>
          </w:tcPr>
          <w:p w14:paraId="2F71A7C6" w14:textId="77777777" w:rsidR="00D56C75" w:rsidRPr="006D169C" w:rsidRDefault="00D56C75" w:rsidP="00CF1079">
            <w:r w:rsidRPr="006D169C">
              <w:t>Less than 25</w:t>
            </w:r>
          </w:p>
        </w:tc>
        <w:tc>
          <w:tcPr>
            <w:tcW w:w="4675" w:type="dxa"/>
          </w:tcPr>
          <w:p w14:paraId="363E3650" w14:textId="670EE4C5" w:rsidR="00D56C75" w:rsidRPr="006D169C" w:rsidRDefault="00D56C75" w:rsidP="00D56C75">
            <w:pPr>
              <w:jc w:val="center"/>
            </w:pPr>
            <w:r>
              <w:t>0</w:t>
            </w:r>
          </w:p>
        </w:tc>
      </w:tr>
      <w:tr w:rsidR="00D56C75" w:rsidRPr="006D169C" w14:paraId="4C57A3FC" w14:textId="77777777" w:rsidTr="00CF1079">
        <w:tc>
          <w:tcPr>
            <w:tcW w:w="4675" w:type="dxa"/>
          </w:tcPr>
          <w:p w14:paraId="72FFE475" w14:textId="77777777" w:rsidR="00D56C75" w:rsidRPr="006D169C" w:rsidRDefault="00D56C75" w:rsidP="00CF1079">
            <w:r w:rsidRPr="006D169C">
              <w:t>26-50</w:t>
            </w:r>
          </w:p>
        </w:tc>
        <w:tc>
          <w:tcPr>
            <w:tcW w:w="4675" w:type="dxa"/>
          </w:tcPr>
          <w:p w14:paraId="5DEC4673" w14:textId="38F76D91" w:rsidR="00D56C75" w:rsidRPr="006D169C" w:rsidRDefault="00D56C75" w:rsidP="00D56C75">
            <w:pPr>
              <w:jc w:val="center"/>
            </w:pPr>
            <w:r>
              <w:t>18.75</w:t>
            </w:r>
          </w:p>
        </w:tc>
      </w:tr>
      <w:tr w:rsidR="00D56C75" w:rsidRPr="006D169C" w14:paraId="26B79548" w14:textId="77777777" w:rsidTr="00CF1079">
        <w:tc>
          <w:tcPr>
            <w:tcW w:w="4675" w:type="dxa"/>
          </w:tcPr>
          <w:p w14:paraId="593ADE33" w14:textId="77777777" w:rsidR="00D56C75" w:rsidRPr="006D169C" w:rsidRDefault="00D56C75" w:rsidP="00CF1079">
            <w:r w:rsidRPr="006D169C">
              <w:t>51-75</w:t>
            </w:r>
          </w:p>
        </w:tc>
        <w:tc>
          <w:tcPr>
            <w:tcW w:w="4675" w:type="dxa"/>
          </w:tcPr>
          <w:p w14:paraId="426B3AB2" w14:textId="24602CC7" w:rsidR="00D56C75" w:rsidRPr="006D169C" w:rsidRDefault="00D56C75" w:rsidP="00D56C75">
            <w:pPr>
              <w:jc w:val="center"/>
            </w:pPr>
            <w:r>
              <w:t>62.50</w:t>
            </w:r>
          </w:p>
        </w:tc>
      </w:tr>
      <w:tr w:rsidR="00D56C75" w:rsidRPr="006D169C" w14:paraId="3769858D" w14:textId="77777777" w:rsidTr="00CF1079">
        <w:tc>
          <w:tcPr>
            <w:tcW w:w="4675" w:type="dxa"/>
          </w:tcPr>
          <w:p w14:paraId="6BE6C418" w14:textId="77777777" w:rsidR="00D56C75" w:rsidRPr="006D169C" w:rsidRDefault="00D56C75" w:rsidP="00CF1079">
            <w:r w:rsidRPr="006D169C">
              <w:t>76-100</w:t>
            </w:r>
          </w:p>
        </w:tc>
        <w:tc>
          <w:tcPr>
            <w:tcW w:w="4675" w:type="dxa"/>
          </w:tcPr>
          <w:p w14:paraId="0EFDBDDD" w14:textId="348A7C8A" w:rsidR="00D56C75" w:rsidRPr="006D169C" w:rsidRDefault="00D56C75" w:rsidP="00D56C75">
            <w:pPr>
              <w:jc w:val="center"/>
            </w:pPr>
            <w:r>
              <w:t>18.75</w:t>
            </w:r>
          </w:p>
        </w:tc>
      </w:tr>
    </w:tbl>
    <w:p w14:paraId="5D803A46" w14:textId="2142C0D4" w:rsidR="00D56C75" w:rsidRPr="000C30B9" w:rsidRDefault="000C30B9">
      <w:pPr>
        <w:rPr>
          <w:sz w:val="20"/>
          <w:szCs w:val="20"/>
        </w:rPr>
      </w:pPr>
      <w:r w:rsidRPr="000C30B9">
        <w:rPr>
          <w:sz w:val="20"/>
          <w:szCs w:val="20"/>
        </w:rPr>
        <w:t>*Self-Reported</w:t>
      </w:r>
    </w:p>
    <w:sectPr w:rsidR="00D56C75" w:rsidRPr="000C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F87"/>
    <w:multiLevelType w:val="hybridMultilevel"/>
    <w:tmpl w:val="E0FC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31BA"/>
    <w:multiLevelType w:val="hybridMultilevel"/>
    <w:tmpl w:val="15FA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74876">
    <w:abstractNumId w:val="0"/>
  </w:num>
  <w:num w:numId="2" w16cid:durableId="22106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58"/>
    <w:rsid w:val="00023B63"/>
    <w:rsid w:val="0002614E"/>
    <w:rsid w:val="000419B0"/>
    <w:rsid w:val="00051657"/>
    <w:rsid w:val="000C30B9"/>
    <w:rsid w:val="000D0AAA"/>
    <w:rsid w:val="000E6954"/>
    <w:rsid w:val="00160224"/>
    <w:rsid w:val="001903F2"/>
    <w:rsid w:val="001A1342"/>
    <w:rsid w:val="002F154B"/>
    <w:rsid w:val="00337C5D"/>
    <w:rsid w:val="00350E65"/>
    <w:rsid w:val="003C65E2"/>
    <w:rsid w:val="004050B6"/>
    <w:rsid w:val="004466DA"/>
    <w:rsid w:val="004548D2"/>
    <w:rsid w:val="00520636"/>
    <w:rsid w:val="00524EF0"/>
    <w:rsid w:val="00554374"/>
    <w:rsid w:val="006257E4"/>
    <w:rsid w:val="006369DE"/>
    <w:rsid w:val="0066018C"/>
    <w:rsid w:val="006D169C"/>
    <w:rsid w:val="00747B71"/>
    <w:rsid w:val="007D1749"/>
    <w:rsid w:val="00822F69"/>
    <w:rsid w:val="00883DB8"/>
    <w:rsid w:val="00886667"/>
    <w:rsid w:val="00A05FD0"/>
    <w:rsid w:val="00A97DE1"/>
    <w:rsid w:val="00AA6F75"/>
    <w:rsid w:val="00B8328A"/>
    <w:rsid w:val="00D00F7A"/>
    <w:rsid w:val="00D56C75"/>
    <w:rsid w:val="00DD575D"/>
    <w:rsid w:val="00E27AFB"/>
    <w:rsid w:val="00EA3D8D"/>
    <w:rsid w:val="00F12B58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F841"/>
  <w15:chartTrackingRefBased/>
  <w15:docId w15:val="{63EAE185-DEEF-4A51-B62B-A035070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B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1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Ritter</dc:creator>
  <cp:keywords/>
  <dc:description/>
  <cp:lastModifiedBy>James Ritter</cp:lastModifiedBy>
  <cp:revision>19</cp:revision>
  <cp:lastPrinted>2025-04-24T14:23:00Z</cp:lastPrinted>
  <dcterms:created xsi:type="dcterms:W3CDTF">2025-04-17T18:08:00Z</dcterms:created>
  <dcterms:modified xsi:type="dcterms:W3CDTF">2025-04-29T14:36:00Z</dcterms:modified>
</cp:coreProperties>
</file>